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5F96F" w14:textId="7B0EAFC2" w:rsidR="00492617" w:rsidRDefault="00492617" w:rsidP="00492617">
      <w:pPr>
        <w:pStyle w:val="BodyText"/>
        <w:jc w:val="both"/>
        <w:rPr>
          <w:sz w:val="24"/>
          <w:szCs w:val="24"/>
        </w:rPr>
      </w:pPr>
      <w:bookmarkStart w:id="0" w:name="_top"/>
      <w:bookmarkEnd w:id="0"/>
    </w:p>
    <w:p w14:paraId="7D79962A" w14:textId="77777777" w:rsidR="007C7BB2" w:rsidRDefault="007C7BB2" w:rsidP="00492617">
      <w:pPr>
        <w:pStyle w:val="BodyText"/>
        <w:jc w:val="both"/>
        <w:rPr>
          <w:sz w:val="24"/>
          <w:szCs w:val="24"/>
        </w:rPr>
      </w:pPr>
    </w:p>
    <w:p w14:paraId="09CC3B61" w14:textId="018B7934" w:rsidR="007C7BB2" w:rsidRDefault="007C7BB2" w:rsidP="00492617">
      <w:pPr>
        <w:pStyle w:val="BodyText"/>
        <w:jc w:val="both"/>
        <w:rPr>
          <w:sz w:val="24"/>
          <w:szCs w:val="24"/>
        </w:rPr>
      </w:pPr>
    </w:p>
    <w:p w14:paraId="5EB56DE5" w14:textId="77777777" w:rsidR="007C7BB2" w:rsidRPr="00CA0509" w:rsidRDefault="007C7BB2" w:rsidP="00492617">
      <w:pPr>
        <w:pStyle w:val="BodyText"/>
        <w:jc w:val="both"/>
        <w:rPr>
          <w:sz w:val="24"/>
          <w:szCs w:val="24"/>
        </w:rPr>
      </w:pPr>
    </w:p>
    <w:p w14:paraId="526EC6D4" w14:textId="77777777" w:rsidR="00492617" w:rsidRPr="00CA0509" w:rsidRDefault="00492617" w:rsidP="00492617">
      <w:pPr>
        <w:pStyle w:val="BodyText"/>
        <w:jc w:val="both"/>
        <w:rPr>
          <w:sz w:val="24"/>
          <w:szCs w:val="24"/>
        </w:rPr>
      </w:pPr>
    </w:p>
    <w:p w14:paraId="473F803D" w14:textId="6E51C6C9" w:rsidR="007C7BB2" w:rsidRPr="007C7BB2" w:rsidRDefault="00492617" w:rsidP="00E56547">
      <w:pPr>
        <w:pStyle w:val="BodyText"/>
        <w:rPr>
          <w:sz w:val="24"/>
          <w:szCs w:val="24"/>
        </w:rPr>
      </w:pPr>
      <w:r w:rsidRPr="00CA0509">
        <w:rPr>
          <w:noProof/>
          <w:sz w:val="24"/>
          <w:szCs w:val="24"/>
          <w:lang w:val="en-US"/>
        </w:rPr>
        <w:drawing>
          <wp:anchor distT="0" distB="0" distL="114300" distR="114300" simplePos="0" relativeHeight="251660288" behindDoc="0" locked="0" layoutInCell="1" allowOverlap="1" wp14:anchorId="60211517" wp14:editId="06370654">
            <wp:simplePos x="0" y="0"/>
            <wp:positionH relativeFrom="margin">
              <wp:align>center</wp:align>
            </wp:positionH>
            <wp:positionV relativeFrom="paragraph">
              <wp:posOffset>9525</wp:posOffset>
            </wp:positionV>
            <wp:extent cx="2095500" cy="202876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5500" cy="2028764"/>
                    </a:xfrm>
                    <a:prstGeom prst="rect">
                      <a:avLst/>
                    </a:prstGeom>
                  </pic:spPr>
                </pic:pic>
              </a:graphicData>
            </a:graphic>
          </wp:anchor>
        </w:drawing>
      </w:r>
      <w:r w:rsidR="00E56547">
        <w:rPr>
          <w:sz w:val="24"/>
          <w:szCs w:val="24"/>
        </w:rPr>
        <w:br w:type="textWrapping" w:clear="all"/>
      </w:r>
    </w:p>
    <w:p w14:paraId="05E07148" w14:textId="77777777" w:rsidR="007C7BB2" w:rsidRDefault="007C7BB2" w:rsidP="00B9702B">
      <w:pPr>
        <w:jc w:val="both"/>
        <w:rPr>
          <w:b/>
          <w:bCs/>
          <w:sz w:val="32"/>
          <w:szCs w:val="32"/>
        </w:rPr>
      </w:pPr>
    </w:p>
    <w:p w14:paraId="105CA975" w14:textId="77777777" w:rsidR="007C7BB2" w:rsidRDefault="007C7BB2" w:rsidP="00B9702B">
      <w:pPr>
        <w:jc w:val="both"/>
        <w:rPr>
          <w:b/>
          <w:bCs/>
          <w:sz w:val="32"/>
          <w:szCs w:val="32"/>
        </w:rPr>
      </w:pPr>
    </w:p>
    <w:p w14:paraId="022CFFB1" w14:textId="09749822" w:rsidR="00584132" w:rsidRPr="00717AC5" w:rsidRDefault="00EA36C0" w:rsidP="003A045C">
      <w:pPr>
        <w:jc w:val="center"/>
        <w:rPr>
          <w:b/>
          <w:bCs/>
          <w:sz w:val="32"/>
          <w:szCs w:val="32"/>
        </w:rPr>
      </w:pPr>
      <w:r>
        <w:rPr>
          <w:b/>
          <w:bCs/>
          <w:sz w:val="32"/>
          <w:szCs w:val="32"/>
        </w:rPr>
        <w:t>GUIDELINES ON NATIONAL PHARMACOVIGILANCE SYSTEM</w:t>
      </w:r>
    </w:p>
    <w:p w14:paraId="1359CBB2" w14:textId="77777777" w:rsidR="00584132" w:rsidRPr="00CA0509" w:rsidRDefault="00584132" w:rsidP="00584132">
      <w:pPr>
        <w:pStyle w:val="BodyText"/>
        <w:jc w:val="both"/>
        <w:rPr>
          <w:b/>
          <w:sz w:val="24"/>
          <w:szCs w:val="24"/>
        </w:rPr>
      </w:pPr>
    </w:p>
    <w:p w14:paraId="76E82D73" w14:textId="77777777" w:rsidR="00584132" w:rsidRPr="00CA0509" w:rsidRDefault="00584132" w:rsidP="00584132">
      <w:pPr>
        <w:pStyle w:val="BodyText"/>
        <w:jc w:val="both"/>
        <w:rPr>
          <w:b/>
          <w:sz w:val="24"/>
          <w:szCs w:val="24"/>
        </w:rPr>
      </w:pPr>
    </w:p>
    <w:p w14:paraId="4424980D" w14:textId="77777777" w:rsidR="00584132" w:rsidRPr="00CA0509" w:rsidRDefault="00584132" w:rsidP="00584132">
      <w:pPr>
        <w:pStyle w:val="BodyText"/>
        <w:jc w:val="both"/>
        <w:rPr>
          <w:b/>
          <w:sz w:val="24"/>
          <w:szCs w:val="24"/>
        </w:rPr>
      </w:pPr>
    </w:p>
    <w:p w14:paraId="4AEA0D8D" w14:textId="77777777" w:rsidR="00584132" w:rsidRPr="00CA0509" w:rsidRDefault="00584132" w:rsidP="00584132">
      <w:pPr>
        <w:pStyle w:val="BodyText"/>
        <w:jc w:val="both"/>
        <w:rPr>
          <w:b/>
          <w:sz w:val="24"/>
          <w:szCs w:val="24"/>
        </w:rPr>
      </w:pPr>
    </w:p>
    <w:p w14:paraId="1016CA78" w14:textId="6A284193" w:rsidR="00584132" w:rsidRDefault="00584132" w:rsidP="003A045C">
      <w:pPr>
        <w:ind w:firstLine="90"/>
        <w:jc w:val="both"/>
        <w:rPr>
          <w:b/>
          <w:bCs/>
          <w:sz w:val="28"/>
          <w:szCs w:val="24"/>
        </w:rPr>
      </w:pPr>
      <w:r w:rsidRPr="003B79B7">
        <w:rPr>
          <w:b/>
          <w:bCs/>
          <w:sz w:val="28"/>
          <w:szCs w:val="24"/>
        </w:rPr>
        <w:t>Document</w:t>
      </w:r>
      <w:r>
        <w:rPr>
          <w:b/>
          <w:bCs/>
          <w:sz w:val="28"/>
          <w:szCs w:val="24"/>
        </w:rPr>
        <w:t xml:space="preserve"> Number:</w:t>
      </w:r>
      <w:r>
        <w:rPr>
          <w:b/>
          <w:bCs/>
          <w:sz w:val="28"/>
          <w:szCs w:val="24"/>
        </w:rPr>
        <w:tab/>
      </w:r>
      <w:r w:rsidRPr="00941959">
        <w:rPr>
          <w:b/>
          <w:bCs/>
          <w:sz w:val="28"/>
          <w:szCs w:val="24"/>
        </w:rPr>
        <w:t>PHSR/</w:t>
      </w:r>
      <w:r w:rsidR="0055642A" w:rsidRPr="00941959">
        <w:rPr>
          <w:b/>
          <w:bCs/>
          <w:sz w:val="28"/>
          <w:szCs w:val="24"/>
        </w:rPr>
        <w:t>GL</w:t>
      </w:r>
      <w:r w:rsidRPr="00941959">
        <w:rPr>
          <w:b/>
          <w:bCs/>
          <w:sz w:val="28"/>
          <w:szCs w:val="24"/>
        </w:rPr>
        <w:t>/</w:t>
      </w:r>
      <w:r w:rsidR="00A93430">
        <w:rPr>
          <w:b/>
          <w:bCs/>
          <w:sz w:val="28"/>
          <w:szCs w:val="24"/>
        </w:rPr>
        <w:t>NPV</w:t>
      </w:r>
      <w:r w:rsidR="00941959" w:rsidRPr="00941959">
        <w:rPr>
          <w:b/>
          <w:bCs/>
          <w:sz w:val="28"/>
          <w:szCs w:val="24"/>
        </w:rPr>
        <w:t>/00</w:t>
      </w:r>
      <w:r w:rsidR="00A93430">
        <w:rPr>
          <w:b/>
          <w:bCs/>
          <w:sz w:val="28"/>
          <w:szCs w:val="24"/>
        </w:rPr>
        <w:t>1</w:t>
      </w:r>
    </w:p>
    <w:p w14:paraId="556214D1" w14:textId="0BC04A49" w:rsidR="00584132" w:rsidRPr="003B79B7" w:rsidRDefault="00584132" w:rsidP="003A045C">
      <w:pPr>
        <w:ind w:firstLine="90"/>
        <w:jc w:val="both"/>
        <w:rPr>
          <w:b/>
          <w:bCs/>
          <w:sz w:val="28"/>
          <w:szCs w:val="24"/>
        </w:rPr>
      </w:pPr>
      <w:r>
        <w:rPr>
          <w:b/>
          <w:bCs/>
          <w:sz w:val="28"/>
          <w:szCs w:val="24"/>
        </w:rPr>
        <w:t>Document History:</w:t>
      </w:r>
      <w:r>
        <w:rPr>
          <w:b/>
          <w:bCs/>
          <w:sz w:val="28"/>
          <w:szCs w:val="24"/>
        </w:rPr>
        <w:tab/>
        <w:t>Edition</w:t>
      </w:r>
      <w:r w:rsidR="003A045C">
        <w:rPr>
          <w:b/>
          <w:bCs/>
          <w:sz w:val="28"/>
          <w:szCs w:val="24"/>
        </w:rPr>
        <w:t xml:space="preserve"> 02</w:t>
      </w:r>
    </w:p>
    <w:p w14:paraId="2EC56ABF" w14:textId="0F9EEAA3" w:rsidR="00584132" w:rsidRPr="005B2A8F" w:rsidRDefault="00584132" w:rsidP="003A045C">
      <w:pPr>
        <w:ind w:firstLine="90"/>
        <w:jc w:val="both"/>
        <w:rPr>
          <w:b/>
          <w:bCs/>
          <w:color w:val="000000" w:themeColor="text1"/>
          <w:sz w:val="28"/>
          <w:szCs w:val="24"/>
        </w:rPr>
      </w:pPr>
      <w:r w:rsidRPr="003B79B7">
        <w:rPr>
          <w:b/>
          <w:bCs/>
          <w:sz w:val="28"/>
          <w:szCs w:val="24"/>
        </w:rPr>
        <w:t>Effective Date:</w:t>
      </w:r>
      <w:r w:rsidR="006207B0">
        <w:rPr>
          <w:b/>
          <w:bCs/>
          <w:sz w:val="28"/>
          <w:szCs w:val="24"/>
        </w:rPr>
        <w:tab/>
      </w:r>
      <w:r w:rsidR="006207B0">
        <w:rPr>
          <w:b/>
          <w:bCs/>
          <w:sz w:val="28"/>
          <w:szCs w:val="24"/>
        </w:rPr>
        <w:tab/>
      </w:r>
    </w:p>
    <w:p w14:paraId="3B90AA78" w14:textId="6BDBA239" w:rsidR="007C7BB2" w:rsidRDefault="007C7BB2" w:rsidP="00584132">
      <w:pPr>
        <w:jc w:val="both"/>
        <w:rPr>
          <w:b/>
          <w:bCs/>
          <w:sz w:val="28"/>
          <w:szCs w:val="24"/>
        </w:rPr>
      </w:pPr>
    </w:p>
    <w:p w14:paraId="168A4AFD" w14:textId="071AD8A5" w:rsidR="006F44B0" w:rsidRDefault="00A50E81" w:rsidP="006F44B0">
      <w:pPr>
        <w:jc w:val="center"/>
        <w:rPr>
          <w:b/>
          <w:bCs/>
          <w:sz w:val="28"/>
          <w:szCs w:val="24"/>
        </w:rPr>
      </w:pPr>
      <w:r>
        <w:rPr>
          <w:b/>
          <w:bCs/>
          <w:noProof/>
          <w:sz w:val="28"/>
          <w:szCs w:val="24"/>
        </w:rPr>
        <mc:AlternateContent>
          <mc:Choice Requires="wps">
            <w:drawing>
              <wp:anchor distT="0" distB="0" distL="114300" distR="114300" simplePos="0" relativeHeight="251659264" behindDoc="0" locked="0" layoutInCell="1" allowOverlap="1" wp14:anchorId="0F80E155" wp14:editId="408D7DC3">
                <wp:simplePos x="0" y="0"/>
                <wp:positionH relativeFrom="column">
                  <wp:posOffset>0</wp:posOffset>
                </wp:positionH>
                <wp:positionV relativeFrom="paragraph">
                  <wp:posOffset>200605</wp:posOffset>
                </wp:positionV>
                <wp:extent cx="6218555" cy="1367624"/>
                <wp:effectExtent l="0" t="0" r="10795" b="23495"/>
                <wp:wrapNone/>
                <wp:docPr id="23" name="Text Box 23"/>
                <wp:cNvGraphicFramePr/>
                <a:graphic xmlns:a="http://schemas.openxmlformats.org/drawingml/2006/main">
                  <a:graphicData uri="http://schemas.microsoft.com/office/word/2010/wordprocessingShape">
                    <wps:wsp>
                      <wps:cNvSpPr txBox="1"/>
                      <wps:spPr>
                        <a:xfrm>
                          <a:off x="0" y="0"/>
                          <a:ext cx="6218555" cy="1367624"/>
                        </a:xfrm>
                        <a:prstGeom prst="rect">
                          <a:avLst/>
                        </a:prstGeom>
                        <a:solidFill>
                          <a:schemeClr val="lt1"/>
                        </a:solidFill>
                        <a:ln w="6350">
                          <a:solidFill>
                            <a:prstClr val="black"/>
                          </a:solidFill>
                        </a:ln>
                      </wps:spPr>
                      <wps:txbx>
                        <w:txbxContent>
                          <w:p w14:paraId="795E4024" w14:textId="68E77F54" w:rsidR="00E03A13" w:rsidRPr="008155AE" w:rsidRDefault="00E03A13" w:rsidP="00FB0F8B">
                            <w:pPr>
                              <w:jc w:val="both"/>
                              <w:rPr>
                                <w:lang w:val="en-US"/>
                              </w:rPr>
                            </w:pPr>
                            <w:r>
                              <w:t>These guidelines are uploaded on the official website of DRAP on 24</w:t>
                            </w:r>
                            <w:r w:rsidRPr="00327D2B">
                              <w:rPr>
                                <w:vertAlign w:val="superscript"/>
                              </w:rPr>
                              <w:t>th</w:t>
                            </w:r>
                            <w:r>
                              <w:t xml:space="preserve"> of August, 2022 for seeking comments and suggestions from stakeholders on the draft document. These guidelines were already approved as 1</w:t>
                            </w:r>
                            <w:r w:rsidRPr="007B1A82">
                              <w:rPr>
                                <w:vertAlign w:val="superscript"/>
                              </w:rPr>
                              <w:t>st</w:t>
                            </w:r>
                            <w:r>
                              <w:t xml:space="preserve"> edition. This 2</w:t>
                            </w:r>
                            <w:r w:rsidRPr="007B1A82">
                              <w:rPr>
                                <w:vertAlign w:val="superscript"/>
                              </w:rPr>
                              <w:t>nd</w:t>
                            </w:r>
                            <w:r>
                              <w:t xml:space="preserve"> edition has been drafted in light of Pharmacovigilance Rules, 2022. Stakeholders can submit their comments and suggestions within 15 days of uploading this document using </w:t>
                            </w:r>
                            <w:hyperlink r:id="rId12" w:history="1">
                              <w:r w:rsidRPr="006E7C3D">
                                <w:rPr>
                                  <w:rStyle w:val="Hyperlink"/>
                                </w:rPr>
                                <w:t>prescribed format</w:t>
                              </w:r>
                            </w:hyperlink>
                            <w:r>
                              <w:t xml:space="preserve">. For further guidelines on how to submit comments visit DRAP website or </w:t>
                            </w:r>
                            <w:hyperlink r:id="rId13" w:history="1">
                              <w:r w:rsidRPr="00EE0FF8">
                                <w:rPr>
                                  <w:rStyle w:val="Hyperlink"/>
                                </w:rPr>
                                <w:t>click here</w:t>
                              </w:r>
                            </w:hyperlink>
                            <w:r>
                              <w:t xml:space="preserve">. Comments and suggestions can be forwarded via email to </w:t>
                            </w:r>
                            <w:hyperlink r:id="rId14" w:history="1">
                              <w:r w:rsidRPr="00FD5957">
                                <w:rPr>
                                  <w:rStyle w:val="Hyperlink"/>
                                </w:rPr>
                                <w:t>npc@dra.gov.pk</w:t>
                              </w:r>
                            </w:hyperlink>
                            <w:r>
                              <w:t>, or can be posted at mailing address, Director, Division of Pharmacy Services, Drug Regulatory Authority of Pakistan, 3rd floor TF Complex, 7th Mauve Area, G-9/4, Islamabad.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0E155" id="_x0000_t202" coordsize="21600,21600" o:spt="202" path="m,l,21600r21600,l21600,xe">
                <v:stroke joinstyle="miter"/>
                <v:path gradientshapeok="t" o:connecttype="rect"/>
              </v:shapetype>
              <v:shape id="Text Box 23" o:spid="_x0000_s1026" type="#_x0000_t202" style="position:absolute;left:0;text-align:left;margin-left:0;margin-top:15.8pt;width:489.6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" fillcolor="white [3201]" strokeweight=".5pt">
                <v:textbox>
                  <w:txbxContent>
                    <w:p w14:paraId="795E4024" w14:textId="68E77F54" w:rsidR="00E03A13" w:rsidRPr="008155AE" w:rsidRDefault="00E03A13" w:rsidP="00FB0F8B">
                      <w:pPr>
                        <w:jc w:val="both"/>
                        <w:rPr>
                          <w:lang w:val="en-US"/>
                        </w:rPr>
                      </w:pPr>
                      <w:r>
                        <w:t>These guidelines are uploaded on the official website of DRAP on 24</w:t>
                      </w:r>
                      <w:r w:rsidRPr="00327D2B">
                        <w:rPr>
                          <w:vertAlign w:val="superscript"/>
                        </w:rPr>
                        <w:t>th</w:t>
                      </w:r>
                      <w:r>
                        <w:t xml:space="preserve"> of August, 2022 for seeking comments and suggestions from stakeholders on the draft document. These guidelines were already approved as 1</w:t>
                      </w:r>
                      <w:r w:rsidRPr="007B1A82">
                        <w:rPr>
                          <w:vertAlign w:val="superscript"/>
                        </w:rPr>
                        <w:t>st</w:t>
                      </w:r>
                      <w:r>
                        <w:t xml:space="preserve"> edition. This 2</w:t>
                      </w:r>
                      <w:r w:rsidRPr="007B1A82">
                        <w:rPr>
                          <w:vertAlign w:val="superscript"/>
                        </w:rPr>
                        <w:t>nd</w:t>
                      </w:r>
                      <w:r>
                        <w:t xml:space="preserve"> edition has been drafted in light of Pharmacovigilance Rules, 2022. Stakeholders can submit their comments and suggestions within 15 days of uploading this document using </w:t>
                      </w:r>
                      <w:hyperlink r:id="rId15" w:history="1">
                        <w:r w:rsidRPr="006E7C3D">
                          <w:rPr>
                            <w:rStyle w:val="Hyperlink"/>
                          </w:rPr>
                          <w:t>prescribed format</w:t>
                        </w:r>
                      </w:hyperlink>
                      <w:r>
                        <w:t xml:space="preserve">. For further guidelines on how to submit comments visit DRAP website or </w:t>
                      </w:r>
                      <w:hyperlink r:id="rId16" w:history="1">
                        <w:r w:rsidRPr="00EE0FF8">
                          <w:rPr>
                            <w:rStyle w:val="Hyperlink"/>
                          </w:rPr>
                          <w:t>click here</w:t>
                        </w:r>
                      </w:hyperlink>
                      <w:r>
                        <w:t xml:space="preserve">. Comments and suggestions can be forwarded via email to </w:t>
                      </w:r>
                      <w:hyperlink r:id="rId17" w:history="1">
                        <w:r w:rsidRPr="00FD5957">
                          <w:rPr>
                            <w:rStyle w:val="Hyperlink"/>
                          </w:rPr>
                          <w:t>npc@dra.gov.pk</w:t>
                        </w:r>
                      </w:hyperlink>
                      <w:r>
                        <w:t>, or can be posted at mailing address, Director, Division of Pharmacy Services, Drug Regulatory Authority of Pakistan, 3rd floor TF Complex, 7th Mauve Area, G-9/4, Islamabad.</w:t>
                      </w:r>
                    </w:p>
                  </w:txbxContent>
                </v:textbox>
              </v:shape>
            </w:pict>
          </mc:Fallback>
        </mc:AlternateContent>
      </w:r>
    </w:p>
    <w:p w14:paraId="526B8B4C" w14:textId="5EC3582E" w:rsidR="006F44B0" w:rsidRDefault="006F44B0" w:rsidP="006F44B0">
      <w:pPr>
        <w:jc w:val="center"/>
        <w:rPr>
          <w:b/>
          <w:bCs/>
          <w:sz w:val="28"/>
          <w:szCs w:val="24"/>
        </w:rPr>
      </w:pPr>
    </w:p>
    <w:p w14:paraId="02CBD614" w14:textId="77777777" w:rsidR="006F44B0" w:rsidRDefault="006F44B0" w:rsidP="006F44B0">
      <w:pPr>
        <w:jc w:val="center"/>
        <w:rPr>
          <w:b/>
          <w:bCs/>
          <w:sz w:val="28"/>
          <w:szCs w:val="24"/>
        </w:rPr>
      </w:pPr>
    </w:p>
    <w:p w14:paraId="60E06D38" w14:textId="77777777" w:rsidR="006F44B0" w:rsidRDefault="006F44B0" w:rsidP="006F44B0">
      <w:pPr>
        <w:jc w:val="center"/>
        <w:rPr>
          <w:b/>
          <w:bCs/>
          <w:sz w:val="28"/>
          <w:szCs w:val="24"/>
        </w:rPr>
      </w:pPr>
    </w:p>
    <w:p w14:paraId="1CCAE0C7" w14:textId="77777777" w:rsidR="006F44B0" w:rsidRDefault="006F44B0" w:rsidP="006F44B0">
      <w:pPr>
        <w:jc w:val="center"/>
        <w:rPr>
          <w:b/>
          <w:bCs/>
          <w:sz w:val="28"/>
          <w:szCs w:val="24"/>
        </w:rPr>
      </w:pPr>
    </w:p>
    <w:p w14:paraId="2E1DFE32" w14:textId="77777777" w:rsidR="006F44B0" w:rsidRDefault="006F44B0" w:rsidP="006F44B0">
      <w:pPr>
        <w:jc w:val="center"/>
        <w:rPr>
          <w:b/>
          <w:bCs/>
          <w:sz w:val="28"/>
          <w:szCs w:val="24"/>
        </w:rPr>
      </w:pPr>
    </w:p>
    <w:p w14:paraId="4FAD9E14" w14:textId="77777777" w:rsidR="006F44B0" w:rsidRDefault="006F44B0" w:rsidP="006F44B0">
      <w:pPr>
        <w:jc w:val="center"/>
        <w:rPr>
          <w:b/>
          <w:bCs/>
          <w:sz w:val="28"/>
          <w:szCs w:val="24"/>
        </w:rPr>
      </w:pPr>
    </w:p>
    <w:p w14:paraId="52963DE8" w14:textId="4DDD99A3" w:rsidR="006F44B0" w:rsidRDefault="006F44B0" w:rsidP="006F44B0">
      <w:pPr>
        <w:jc w:val="center"/>
        <w:rPr>
          <w:b/>
          <w:bCs/>
          <w:sz w:val="28"/>
          <w:szCs w:val="24"/>
        </w:rPr>
      </w:pPr>
    </w:p>
    <w:p w14:paraId="30EFC4A2" w14:textId="79574673" w:rsidR="007C7BB2" w:rsidRDefault="007C7BB2" w:rsidP="007C7BB2">
      <w:pPr>
        <w:rPr>
          <w:b/>
          <w:bCs/>
          <w:sz w:val="28"/>
          <w:szCs w:val="24"/>
        </w:rPr>
      </w:pPr>
    </w:p>
    <w:p w14:paraId="2436B48C" w14:textId="61B9219E" w:rsidR="007C7BB2" w:rsidRDefault="007C7BB2" w:rsidP="006F44B0">
      <w:pPr>
        <w:jc w:val="center"/>
        <w:rPr>
          <w:b/>
          <w:bCs/>
          <w:sz w:val="28"/>
          <w:szCs w:val="24"/>
        </w:rPr>
      </w:pPr>
    </w:p>
    <w:p w14:paraId="164BA489" w14:textId="77777777" w:rsidR="007C7BB2" w:rsidRDefault="007C7BB2" w:rsidP="006F44B0">
      <w:pPr>
        <w:jc w:val="center"/>
        <w:rPr>
          <w:b/>
          <w:bCs/>
          <w:sz w:val="28"/>
          <w:szCs w:val="24"/>
        </w:rPr>
      </w:pPr>
    </w:p>
    <w:p w14:paraId="68D1C28C" w14:textId="77777777" w:rsidR="006F44B0" w:rsidRDefault="006F44B0" w:rsidP="006F44B0">
      <w:pPr>
        <w:jc w:val="center"/>
        <w:rPr>
          <w:b/>
          <w:bCs/>
          <w:sz w:val="28"/>
          <w:szCs w:val="24"/>
        </w:rPr>
      </w:pPr>
      <w:r>
        <w:rPr>
          <w:b/>
          <w:bCs/>
          <w:sz w:val="28"/>
          <w:szCs w:val="24"/>
        </w:rPr>
        <w:t>Drug Regulatory Authority of Pakistan</w:t>
      </w:r>
    </w:p>
    <w:p w14:paraId="3187837F" w14:textId="77777777" w:rsidR="003563BF" w:rsidRPr="00642C0B" w:rsidRDefault="003563BF" w:rsidP="003563BF">
      <w:pPr>
        <w:pStyle w:val="NormalWeb"/>
        <w:spacing w:before="0" w:beforeAutospacing="0" w:after="0" w:afterAutospacing="0" w:line="276" w:lineRule="auto"/>
        <w:jc w:val="center"/>
        <w:rPr>
          <w:sz w:val="28"/>
        </w:rPr>
      </w:pPr>
      <w:r>
        <w:rPr>
          <w:sz w:val="28"/>
        </w:rPr>
        <w:t>Islamabad-Pakistan</w:t>
      </w:r>
    </w:p>
    <w:p w14:paraId="5600F89F" w14:textId="77777777" w:rsidR="006E02F1" w:rsidRDefault="006E02F1">
      <w:pPr>
        <w:widowControl/>
        <w:spacing w:before="120" w:after="120" w:line="360" w:lineRule="auto"/>
        <w:jc w:val="both"/>
        <w:rPr>
          <w:b/>
          <w:bCs/>
          <w:sz w:val="28"/>
          <w:szCs w:val="24"/>
        </w:rPr>
      </w:pPr>
      <w:r>
        <w:rPr>
          <w:b/>
          <w:bCs/>
          <w:sz w:val="28"/>
          <w:szCs w:val="24"/>
        </w:rPr>
        <w:br w:type="page"/>
      </w:r>
    </w:p>
    <w:p w14:paraId="28E69B31" w14:textId="40C89B7F" w:rsidR="00584132" w:rsidRPr="001214AA" w:rsidRDefault="00584132" w:rsidP="006F399C">
      <w:pPr>
        <w:pStyle w:val="Level1DRAP"/>
        <w:ind w:left="90" w:hanging="90"/>
      </w:pPr>
      <w:bookmarkStart w:id="1" w:name="_Toc110329920"/>
      <w:r w:rsidRPr="001214AA">
        <w:lastRenderedPageBreak/>
        <w:t>HISTORY</w:t>
      </w:r>
      <w:bookmarkEnd w:id="1"/>
    </w:p>
    <w:p w14:paraId="31DC5F99" w14:textId="275A6520" w:rsidR="00584132" w:rsidRDefault="00584132" w:rsidP="002B0F1F">
      <w:pPr>
        <w:pStyle w:val="ListParagraph"/>
        <w:spacing w:line="360" w:lineRule="auto"/>
        <w:ind w:left="540"/>
        <w:jc w:val="both"/>
        <w:rPr>
          <w:bCs/>
          <w:sz w:val="24"/>
          <w:szCs w:val="24"/>
        </w:rPr>
      </w:pPr>
      <w:r w:rsidRPr="000B34F6">
        <w:rPr>
          <w:bCs/>
          <w:sz w:val="24"/>
          <w:szCs w:val="24"/>
        </w:rPr>
        <w:t xml:space="preserve">This is the </w:t>
      </w:r>
      <w:r w:rsidR="00E45BE2">
        <w:rPr>
          <w:bCs/>
          <w:sz w:val="24"/>
          <w:szCs w:val="24"/>
        </w:rPr>
        <w:t>2</w:t>
      </w:r>
      <w:r w:rsidR="00E45BE2" w:rsidRPr="00E45BE2">
        <w:rPr>
          <w:bCs/>
          <w:sz w:val="24"/>
          <w:szCs w:val="24"/>
          <w:vertAlign w:val="superscript"/>
        </w:rPr>
        <w:t>nd</w:t>
      </w:r>
      <w:r w:rsidR="00E45BE2">
        <w:rPr>
          <w:bCs/>
          <w:sz w:val="24"/>
          <w:szCs w:val="24"/>
        </w:rPr>
        <w:t xml:space="preserve"> </w:t>
      </w:r>
      <w:r w:rsidRPr="000B34F6">
        <w:rPr>
          <w:bCs/>
          <w:sz w:val="24"/>
          <w:szCs w:val="24"/>
        </w:rPr>
        <w:t>edition of</w:t>
      </w:r>
      <w:r w:rsidR="00806CA7">
        <w:rPr>
          <w:bCs/>
          <w:sz w:val="24"/>
          <w:szCs w:val="24"/>
        </w:rPr>
        <w:t xml:space="preserve"> this </w:t>
      </w:r>
      <w:r w:rsidR="00A46683">
        <w:rPr>
          <w:bCs/>
          <w:sz w:val="24"/>
          <w:szCs w:val="24"/>
        </w:rPr>
        <w:t>document</w:t>
      </w:r>
      <w:r>
        <w:rPr>
          <w:bCs/>
          <w:sz w:val="24"/>
          <w:szCs w:val="24"/>
        </w:rPr>
        <w:t>.</w:t>
      </w:r>
    </w:p>
    <w:p w14:paraId="51E645D4" w14:textId="110D373F" w:rsidR="00936B2F" w:rsidRDefault="00936B2F" w:rsidP="002B0F1F">
      <w:pPr>
        <w:pStyle w:val="ListParagraph"/>
        <w:spacing w:line="360" w:lineRule="auto"/>
        <w:ind w:left="540"/>
        <w:jc w:val="both"/>
        <w:rPr>
          <w:bCs/>
          <w:sz w:val="24"/>
          <w:szCs w:val="24"/>
        </w:rPr>
      </w:pPr>
      <w:r>
        <w:rPr>
          <w:bCs/>
          <w:sz w:val="24"/>
          <w:szCs w:val="24"/>
        </w:rPr>
        <w:t>The 1</w:t>
      </w:r>
      <w:r w:rsidRPr="00936B2F">
        <w:rPr>
          <w:bCs/>
          <w:sz w:val="24"/>
          <w:szCs w:val="24"/>
          <w:vertAlign w:val="superscript"/>
        </w:rPr>
        <w:t>st</w:t>
      </w:r>
      <w:r>
        <w:rPr>
          <w:bCs/>
          <w:sz w:val="24"/>
          <w:szCs w:val="24"/>
        </w:rPr>
        <w:t xml:space="preserve"> edition of these guidelines was drafted as per draft Pharmacovigilance Rules and had chapters and sections that were for the guidance of healthcare professionals, patients and registration holders. As the National Pharmacovigilance Centre has now issued separate guidelines for each of the above stakeholders and Pharmacovigilance Rules, 2022 are officially notified, therefore, this 2</w:t>
      </w:r>
      <w:r w:rsidRPr="00936B2F">
        <w:rPr>
          <w:bCs/>
          <w:sz w:val="24"/>
          <w:szCs w:val="24"/>
          <w:vertAlign w:val="superscript"/>
        </w:rPr>
        <w:t>nd</w:t>
      </w:r>
      <w:r>
        <w:rPr>
          <w:bCs/>
          <w:sz w:val="24"/>
          <w:szCs w:val="24"/>
        </w:rPr>
        <w:t xml:space="preserve"> edition of guidelines was redrafted in line with Pharmacovigilance Rules, 2022 and all these sections /chapters that were for the guidance of above stakeholders have been removed. Likewise, the WHO Pharmacovigilance indicators have been incorporated in chapter 11 of the 2</w:t>
      </w:r>
      <w:r w:rsidRPr="00936B2F">
        <w:rPr>
          <w:bCs/>
          <w:sz w:val="24"/>
          <w:szCs w:val="24"/>
          <w:vertAlign w:val="superscript"/>
        </w:rPr>
        <w:t>nd</w:t>
      </w:r>
      <w:r>
        <w:rPr>
          <w:bCs/>
          <w:sz w:val="24"/>
          <w:szCs w:val="24"/>
        </w:rPr>
        <w:t xml:space="preserve"> edition to harmonize the procedure performance evaluation with international standards.</w:t>
      </w:r>
    </w:p>
    <w:p w14:paraId="6E4C3E48" w14:textId="77777777" w:rsidR="00584132" w:rsidRPr="00FE6345" w:rsidRDefault="00584132" w:rsidP="00B65E7B">
      <w:pPr>
        <w:pStyle w:val="ListParagraph"/>
        <w:spacing w:line="360" w:lineRule="auto"/>
        <w:ind w:left="1080"/>
        <w:jc w:val="both"/>
        <w:rPr>
          <w:bCs/>
          <w:sz w:val="12"/>
          <w:szCs w:val="12"/>
        </w:rPr>
      </w:pPr>
    </w:p>
    <w:p w14:paraId="1CB1B563" w14:textId="396DABCD" w:rsidR="00584132" w:rsidRPr="001214AA" w:rsidRDefault="00584132" w:rsidP="006F399C">
      <w:pPr>
        <w:pStyle w:val="Level1DRAP"/>
        <w:ind w:left="90" w:hanging="90"/>
      </w:pPr>
      <w:bookmarkStart w:id="2" w:name="_Toc110329921"/>
      <w:r w:rsidRPr="008F0D0C">
        <w:rPr>
          <w:bCs/>
        </w:rPr>
        <w:t xml:space="preserve">APPLICATION </w:t>
      </w:r>
      <w:r w:rsidR="00941959" w:rsidRPr="001214AA">
        <w:t>–</w:t>
      </w:r>
      <w:r w:rsidRPr="001214AA">
        <w:t xml:space="preserve"> </w:t>
      </w:r>
      <w:r w:rsidR="00941959" w:rsidRPr="00FA59FE">
        <w:t>(Guidance</w:t>
      </w:r>
      <w:r w:rsidR="005A4142" w:rsidRPr="00FA59FE">
        <w:t xml:space="preserve"> </w:t>
      </w:r>
      <w:r w:rsidR="00FA59FE" w:rsidRPr="00FA59FE">
        <w:t xml:space="preserve">for </w:t>
      </w:r>
      <w:r w:rsidR="00FD15A1">
        <w:t>P</w:t>
      </w:r>
      <w:r w:rsidR="005A4142" w:rsidRPr="00FA59FE">
        <w:t xml:space="preserve">harmacovigilance </w:t>
      </w:r>
      <w:r w:rsidR="00FD15A1" w:rsidRPr="00FA59FE">
        <w:t>Stakeholders</w:t>
      </w:r>
      <w:r w:rsidR="00941959" w:rsidRPr="001214AA">
        <w:t>)</w:t>
      </w:r>
      <w:bookmarkEnd w:id="2"/>
    </w:p>
    <w:p w14:paraId="54FCC2A0" w14:textId="0B2B76C1" w:rsidR="00B65E7B" w:rsidRPr="008F0D0C" w:rsidRDefault="0001568B" w:rsidP="002B0F1F">
      <w:pPr>
        <w:pStyle w:val="ListParagraph"/>
        <w:spacing w:line="360" w:lineRule="auto"/>
        <w:ind w:left="540"/>
        <w:jc w:val="both"/>
        <w:rPr>
          <w:bCs/>
          <w:sz w:val="24"/>
          <w:szCs w:val="24"/>
        </w:rPr>
      </w:pPr>
      <w:r w:rsidRPr="00941959">
        <w:rPr>
          <w:bCs/>
          <w:sz w:val="24"/>
          <w:szCs w:val="24"/>
        </w:rPr>
        <w:t xml:space="preserve">This document is for the guidance and support of </w:t>
      </w:r>
      <w:r w:rsidR="00BC5A9A">
        <w:rPr>
          <w:bCs/>
          <w:sz w:val="24"/>
          <w:szCs w:val="24"/>
        </w:rPr>
        <w:t>all pharmacovigilance stakeholders of Pakistan</w:t>
      </w:r>
      <w:r w:rsidR="00A86E95">
        <w:rPr>
          <w:bCs/>
          <w:sz w:val="24"/>
          <w:szCs w:val="24"/>
        </w:rPr>
        <w:t>.</w:t>
      </w:r>
    </w:p>
    <w:p w14:paraId="1F9C3E0A" w14:textId="2C666298" w:rsidR="00584132" w:rsidRPr="008F0D0C" w:rsidRDefault="00584132" w:rsidP="006F399C">
      <w:pPr>
        <w:pStyle w:val="Level1DRAP"/>
        <w:ind w:left="90" w:hanging="90"/>
      </w:pPr>
      <w:bookmarkStart w:id="3" w:name="_Toc110329922"/>
      <w:r w:rsidRPr="008F0D0C">
        <w:t>PURPOSE</w:t>
      </w:r>
      <w:bookmarkEnd w:id="3"/>
    </w:p>
    <w:p w14:paraId="549C7A6B" w14:textId="76D8AA0B" w:rsidR="00A86E95" w:rsidRPr="00A86E95" w:rsidRDefault="00BC5A9A" w:rsidP="002B0F1F">
      <w:pPr>
        <w:pStyle w:val="BodyText"/>
        <w:spacing w:before="120" w:after="120" w:line="360" w:lineRule="auto"/>
        <w:ind w:left="540" w:right="123"/>
        <w:jc w:val="both"/>
        <w:rPr>
          <w:bCs/>
          <w:sz w:val="24"/>
          <w:szCs w:val="24"/>
        </w:rPr>
      </w:pPr>
      <w:r>
        <w:rPr>
          <w:rFonts w:eastAsia="Segoe UI"/>
          <w:color w:val="000000"/>
          <w:sz w:val="24"/>
          <w:szCs w:val="24"/>
        </w:rPr>
        <w:t>The purpose of this</w:t>
      </w:r>
      <w:r w:rsidRPr="00332182">
        <w:rPr>
          <w:rFonts w:eastAsia="Segoe UI"/>
          <w:color w:val="000000"/>
          <w:sz w:val="24"/>
          <w:szCs w:val="24"/>
        </w:rPr>
        <w:t xml:space="preserve"> guidance</w:t>
      </w:r>
      <w:r>
        <w:rPr>
          <w:rFonts w:eastAsia="Segoe UI"/>
          <w:color w:val="000000"/>
          <w:sz w:val="24"/>
          <w:szCs w:val="24"/>
        </w:rPr>
        <w:t xml:space="preserve"> document</w:t>
      </w:r>
      <w:r w:rsidRPr="00332182">
        <w:rPr>
          <w:rFonts w:eastAsia="Segoe UI"/>
          <w:color w:val="000000"/>
          <w:sz w:val="24"/>
          <w:szCs w:val="24"/>
        </w:rPr>
        <w:t xml:space="preserve"> is to provide a </w:t>
      </w:r>
      <w:r w:rsidRPr="00332182">
        <w:rPr>
          <w:bCs/>
          <w:sz w:val="24"/>
          <w:szCs w:val="24"/>
        </w:rPr>
        <w:t xml:space="preserve">basic framework for the implementation of </w:t>
      </w:r>
      <w:r>
        <w:rPr>
          <w:bCs/>
          <w:sz w:val="24"/>
          <w:szCs w:val="24"/>
        </w:rPr>
        <w:t xml:space="preserve">the </w:t>
      </w:r>
      <w:r w:rsidRPr="00332182">
        <w:rPr>
          <w:bCs/>
          <w:sz w:val="24"/>
          <w:szCs w:val="24"/>
        </w:rPr>
        <w:t xml:space="preserve">pharmacovigilance programme </w:t>
      </w:r>
      <w:r>
        <w:rPr>
          <w:bCs/>
          <w:sz w:val="24"/>
          <w:szCs w:val="24"/>
        </w:rPr>
        <w:t>in</w:t>
      </w:r>
      <w:r w:rsidRPr="00332182">
        <w:rPr>
          <w:bCs/>
          <w:sz w:val="24"/>
          <w:szCs w:val="24"/>
        </w:rPr>
        <w:t xml:space="preserve"> Pakistan and to </w:t>
      </w:r>
      <w:r w:rsidRPr="00332182">
        <w:rPr>
          <w:rFonts w:eastAsia="Segoe UI"/>
          <w:color w:val="000000"/>
          <w:sz w:val="24"/>
          <w:szCs w:val="24"/>
        </w:rPr>
        <w:t xml:space="preserve">ensure that stakeholders are better equipped to </w:t>
      </w:r>
      <w:r w:rsidRPr="00332182">
        <w:rPr>
          <w:bCs/>
          <w:sz w:val="24"/>
          <w:szCs w:val="24"/>
        </w:rPr>
        <w:t xml:space="preserve">monitor the safety of therapeutic goods and to detect, assess, understand, prevent and investigate </w:t>
      </w:r>
      <w:r>
        <w:rPr>
          <w:bCs/>
          <w:sz w:val="24"/>
          <w:szCs w:val="24"/>
        </w:rPr>
        <w:t xml:space="preserve">pharmacovigilance data. </w:t>
      </w:r>
      <w:r w:rsidR="00A86E95">
        <w:rPr>
          <w:bCs/>
          <w:sz w:val="24"/>
          <w:szCs w:val="24"/>
        </w:rPr>
        <w:t xml:space="preserve">The basic purpose is to explain the pharmacovigilance system of Pakistan and let the stakeholder understand how it is structured at the </w:t>
      </w:r>
      <w:r w:rsidR="00E53839">
        <w:rPr>
          <w:bCs/>
          <w:sz w:val="24"/>
          <w:szCs w:val="24"/>
        </w:rPr>
        <w:t xml:space="preserve">National </w:t>
      </w:r>
      <w:r w:rsidR="00A86E95">
        <w:rPr>
          <w:bCs/>
          <w:sz w:val="24"/>
          <w:szCs w:val="24"/>
        </w:rPr>
        <w:t xml:space="preserve">and provincial levels. </w:t>
      </w:r>
      <w:r w:rsidR="00A86E95" w:rsidRPr="00332182">
        <w:rPr>
          <w:rFonts w:eastAsia="Segoe UI"/>
          <w:color w:val="000000"/>
          <w:sz w:val="24"/>
          <w:szCs w:val="24"/>
        </w:rPr>
        <w:t xml:space="preserve">The overall aim </w:t>
      </w:r>
      <w:r w:rsidR="00740169">
        <w:rPr>
          <w:rFonts w:eastAsia="Segoe UI"/>
          <w:color w:val="000000"/>
          <w:sz w:val="24"/>
          <w:szCs w:val="24"/>
        </w:rPr>
        <w:t>is</w:t>
      </w:r>
      <w:r w:rsidR="00A86E95">
        <w:rPr>
          <w:rFonts w:eastAsia="Segoe UI"/>
          <w:color w:val="000000"/>
          <w:sz w:val="24"/>
          <w:szCs w:val="24"/>
        </w:rPr>
        <w:t>:</w:t>
      </w:r>
    </w:p>
    <w:p w14:paraId="156F99E2" w14:textId="77777777" w:rsidR="00A86E95" w:rsidRPr="00A86E95" w:rsidRDefault="00A86E95" w:rsidP="00B551AA">
      <w:pPr>
        <w:pStyle w:val="ListParagraph"/>
        <w:widowControl/>
        <w:numPr>
          <w:ilvl w:val="0"/>
          <w:numId w:val="4"/>
        </w:numPr>
        <w:spacing w:after="120" w:line="276" w:lineRule="auto"/>
        <w:contextualSpacing w:val="0"/>
        <w:jc w:val="both"/>
        <w:rPr>
          <w:bCs/>
          <w:vanish/>
          <w:sz w:val="24"/>
          <w:szCs w:val="24"/>
        </w:rPr>
      </w:pPr>
    </w:p>
    <w:p w14:paraId="43A39363" w14:textId="77777777" w:rsidR="00A86E95" w:rsidRPr="00A86E95" w:rsidRDefault="00A86E95" w:rsidP="00B551AA">
      <w:pPr>
        <w:pStyle w:val="ListParagraph"/>
        <w:widowControl/>
        <w:numPr>
          <w:ilvl w:val="0"/>
          <w:numId w:val="4"/>
        </w:numPr>
        <w:spacing w:after="120" w:line="276" w:lineRule="auto"/>
        <w:contextualSpacing w:val="0"/>
        <w:jc w:val="both"/>
        <w:rPr>
          <w:bCs/>
          <w:vanish/>
          <w:sz w:val="24"/>
          <w:szCs w:val="24"/>
        </w:rPr>
      </w:pPr>
    </w:p>
    <w:p w14:paraId="1BC2332B" w14:textId="77777777" w:rsidR="00A86E95" w:rsidRPr="00A86E95" w:rsidRDefault="00A86E95" w:rsidP="00B551AA">
      <w:pPr>
        <w:pStyle w:val="ListParagraph"/>
        <w:widowControl/>
        <w:numPr>
          <w:ilvl w:val="0"/>
          <w:numId w:val="4"/>
        </w:numPr>
        <w:spacing w:after="120" w:line="276" w:lineRule="auto"/>
        <w:contextualSpacing w:val="0"/>
        <w:jc w:val="both"/>
        <w:rPr>
          <w:bCs/>
          <w:vanish/>
          <w:sz w:val="24"/>
          <w:szCs w:val="24"/>
        </w:rPr>
      </w:pPr>
    </w:p>
    <w:p w14:paraId="2574856C" w14:textId="755A141B" w:rsidR="00A86E95" w:rsidRPr="00332182" w:rsidRDefault="00A86E95" w:rsidP="00B551AA">
      <w:pPr>
        <w:widowControl/>
        <w:numPr>
          <w:ilvl w:val="1"/>
          <w:numId w:val="4"/>
        </w:numPr>
        <w:spacing w:after="120" w:line="276" w:lineRule="auto"/>
        <w:ind w:left="1710" w:hanging="720"/>
        <w:jc w:val="both"/>
        <w:rPr>
          <w:bCs/>
          <w:sz w:val="24"/>
          <w:szCs w:val="24"/>
        </w:rPr>
      </w:pPr>
      <w:r w:rsidRPr="00332182">
        <w:rPr>
          <w:bCs/>
          <w:sz w:val="24"/>
          <w:szCs w:val="24"/>
        </w:rPr>
        <w:t>To operationalize the pharmacovigilance programme of Pakistan;</w:t>
      </w:r>
    </w:p>
    <w:p w14:paraId="022F5163" w14:textId="58035CBE" w:rsidR="00A86E95" w:rsidRPr="00332182" w:rsidRDefault="00A86E95" w:rsidP="00B551AA">
      <w:pPr>
        <w:widowControl/>
        <w:numPr>
          <w:ilvl w:val="1"/>
          <w:numId w:val="4"/>
        </w:numPr>
        <w:spacing w:after="120" w:line="276" w:lineRule="auto"/>
        <w:ind w:left="1710" w:hanging="720"/>
        <w:jc w:val="both"/>
        <w:rPr>
          <w:bCs/>
          <w:sz w:val="24"/>
          <w:szCs w:val="24"/>
        </w:rPr>
      </w:pPr>
      <w:r w:rsidRPr="00332182">
        <w:rPr>
          <w:bCs/>
          <w:sz w:val="24"/>
          <w:szCs w:val="24"/>
        </w:rPr>
        <w:t xml:space="preserve">To detect, validate, </w:t>
      </w:r>
      <w:r w:rsidR="00E070A2">
        <w:rPr>
          <w:bCs/>
          <w:sz w:val="24"/>
          <w:szCs w:val="24"/>
        </w:rPr>
        <w:t xml:space="preserve">and </w:t>
      </w:r>
      <w:r w:rsidRPr="00332182">
        <w:rPr>
          <w:bCs/>
          <w:sz w:val="24"/>
          <w:szCs w:val="24"/>
        </w:rPr>
        <w:t xml:space="preserve">assess new signals in </w:t>
      </w:r>
      <w:r>
        <w:rPr>
          <w:bCs/>
          <w:sz w:val="24"/>
          <w:szCs w:val="24"/>
        </w:rPr>
        <w:t xml:space="preserve">the </w:t>
      </w:r>
      <w:r w:rsidR="008410D4">
        <w:rPr>
          <w:bCs/>
          <w:sz w:val="24"/>
          <w:szCs w:val="24"/>
        </w:rPr>
        <w:t>National</w:t>
      </w:r>
      <w:r w:rsidRPr="00332182">
        <w:rPr>
          <w:bCs/>
          <w:sz w:val="24"/>
          <w:szCs w:val="24"/>
        </w:rPr>
        <w:t xml:space="preserve"> pharmacovigilance database;</w:t>
      </w:r>
    </w:p>
    <w:p w14:paraId="6C51EB93" w14:textId="77777777" w:rsidR="00A86E95" w:rsidRPr="00332182" w:rsidRDefault="00A86E95" w:rsidP="00B551AA">
      <w:pPr>
        <w:widowControl/>
        <w:numPr>
          <w:ilvl w:val="1"/>
          <w:numId w:val="4"/>
        </w:numPr>
        <w:spacing w:after="120" w:line="276" w:lineRule="auto"/>
        <w:ind w:left="1710" w:hanging="720"/>
        <w:jc w:val="both"/>
        <w:rPr>
          <w:bCs/>
          <w:sz w:val="24"/>
          <w:szCs w:val="24"/>
        </w:rPr>
      </w:pPr>
      <w:r w:rsidRPr="00332182">
        <w:rPr>
          <w:bCs/>
          <w:sz w:val="24"/>
          <w:szCs w:val="24"/>
        </w:rPr>
        <w:t xml:space="preserve">To continuously monitor the </w:t>
      </w:r>
      <w:r>
        <w:rPr>
          <w:bCs/>
          <w:sz w:val="24"/>
          <w:szCs w:val="24"/>
        </w:rPr>
        <w:t>benefit-risk ratio</w:t>
      </w:r>
      <w:r w:rsidRPr="00332182">
        <w:rPr>
          <w:bCs/>
          <w:sz w:val="24"/>
          <w:szCs w:val="24"/>
        </w:rPr>
        <w:t xml:space="preserve"> of therapeutic goods in Pakistan’s market;</w:t>
      </w:r>
    </w:p>
    <w:p w14:paraId="1DC7517B" w14:textId="3EC224E5" w:rsidR="00A86E95" w:rsidRDefault="00A86E95" w:rsidP="00B551AA">
      <w:pPr>
        <w:widowControl/>
        <w:numPr>
          <w:ilvl w:val="1"/>
          <w:numId w:val="4"/>
        </w:numPr>
        <w:spacing w:after="120" w:line="276" w:lineRule="auto"/>
        <w:ind w:left="1710" w:hanging="720"/>
        <w:jc w:val="both"/>
        <w:rPr>
          <w:bCs/>
          <w:sz w:val="24"/>
          <w:szCs w:val="24"/>
        </w:rPr>
      </w:pPr>
      <w:r w:rsidRPr="00332182">
        <w:rPr>
          <w:bCs/>
          <w:sz w:val="24"/>
          <w:szCs w:val="24"/>
        </w:rPr>
        <w:t xml:space="preserve">To encourage </w:t>
      </w:r>
      <w:r>
        <w:rPr>
          <w:bCs/>
          <w:sz w:val="24"/>
          <w:szCs w:val="24"/>
        </w:rPr>
        <w:t>and guide pharmacovigilance stakeholders about the reporting of pharmacovigilance data;</w:t>
      </w:r>
    </w:p>
    <w:p w14:paraId="390E3FDB" w14:textId="7A7F9A15" w:rsidR="00A86E95" w:rsidRPr="00332182" w:rsidRDefault="00A86E95" w:rsidP="00B551AA">
      <w:pPr>
        <w:widowControl/>
        <w:numPr>
          <w:ilvl w:val="1"/>
          <w:numId w:val="4"/>
        </w:numPr>
        <w:spacing w:after="120" w:line="276" w:lineRule="auto"/>
        <w:ind w:left="1710" w:hanging="720"/>
        <w:jc w:val="both"/>
        <w:rPr>
          <w:bCs/>
          <w:sz w:val="24"/>
          <w:szCs w:val="24"/>
        </w:rPr>
      </w:pPr>
      <w:r>
        <w:rPr>
          <w:bCs/>
          <w:sz w:val="24"/>
          <w:szCs w:val="24"/>
        </w:rPr>
        <w:t>To guide the stakeholders about the identification and assessment of AE, ADRs and AEFI, subsequent signal detection and risk communication.</w:t>
      </w:r>
    </w:p>
    <w:p w14:paraId="3234CBA0" w14:textId="1EE14359" w:rsidR="0057128A" w:rsidRPr="00941959" w:rsidRDefault="00941959" w:rsidP="00941959">
      <w:pPr>
        <w:tabs>
          <w:tab w:val="left" w:pos="6210"/>
        </w:tabs>
        <w:sectPr w:rsidR="0057128A" w:rsidRPr="00941959" w:rsidSect="00202FF0">
          <w:headerReference w:type="even" r:id="rId18"/>
          <w:headerReference w:type="default" r:id="rId19"/>
          <w:footerReference w:type="default" r:id="rId20"/>
          <w:headerReference w:type="first" r:id="rId21"/>
          <w:pgSz w:w="12240" w:h="15840"/>
          <w:pgMar w:top="1276" w:right="1440" w:bottom="1134" w:left="1440" w:header="720" w:footer="283" w:gutter="0"/>
          <w:lnNumType w:countBy="1"/>
          <w:cols w:space="720"/>
          <w:titlePg/>
          <w:docGrid w:linePitch="360"/>
        </w:sectPr>
      </w:pPr>
      <w:r>
        <w:tab/>
      </w:r>
    </w:p>
    <w:sdt>
      <w:sdtPr>
        <w:rPr>
          <w:rFonts w:ascii="Times New Roman" w:hAnsi="Times New Roman" w:cs="Times New Roman"/>
          <w:b w:val="0"/>
          <w:color w:val="auto"/>
          <w:sz w:val="22"/>
          <w:szCs w:val="22"/>
          <w:lang w:val="en-GB"/>
        </w:rPr>
        <w:id w:val="1956363621"/>
        <w:docPartObj>
          <w:docPartGallery w:val="Table of Contents"/>
          <w:docPartUnique/>
        </w:docPartObj>
      </w:sdtPr>
      <w:sdtEndPr>
        <w:rPr>
          <w:bCs/>
          <w:noProof/>
        </w:rPr>
      </w:sdtEndPr>
      <w:sdtContent>
        <w:p w14:paraId="3621D1FC" w14:textId="2D9BE5D2" w:rsidR="008411BF" w:rsidRPr="00FD15A1" w:rsidRDefault="00E56547" w:rsidP="00E56547">
          <w:pPr>
            <w:pStyle w:val="TOCHeading"/>
            <w:jc w:val="center"/>
            <w:rPr>
              <w:rFonts w:ascii="Times New Roman" w:hAnsi="Times New Roman" w:cs="Times New Roman"/>
              <w:color w:val="auto"/>
              <w:szCs w:val="24"/>
            </w:rPr>
          </w:pPr>
          <w:r w:rsidRPr="00FD15A1">
            <w:rPr>
              <w:rFonts w:ascii="Times New Roman" w:hAnsi="Times New Roman" w:cs="Times New Roman"/>
              <w:color w:val="auto"/>
              <w:szCs w:val="24"/>
            </w:rPr>
            <w:t>Table of</w:t>
          </w:r>
          <w:r w:rsidRPr="00FD15A1">
            <w:rPr>
              <w:rFonts w:ascii="Times New Roman" w:hAnsi="Times New Roman" w:cs="Times New Roman"/>
              <w:color w:val="auto"/>
              <w:szCs w:val="24"/>
              <w:lang w:val="en-GB"/>
            </w:rPr>
            <w:t xml:space="preserve"> </w:t>
          </w:r>
          <w:r w:rsidR="008411BF" w:rsidRPr="00FD15A1">
            <w:rPr>
              <w:rFonts w:ascii="Times New Roman" w:hAnsi="Times New Roman" w:cs="Times New Roman"/>
              <w:color w:val="auto"/>
              <w:szCs w:val="24"/>
            </w:rPr>
            <w:t>Contents</w:t>
          </w:r>
        </w:p>
        <w:p w14:paraId="6CBEA5A7" w14:textId="40194B2A" w:rsidR="00FB07B8" w:rsidRPr="00E03A13" w:rsidRDefault="008411BF" w:rsidP="00FD15A1">
          <w:pPr>
            <w:pStyle w:val="TOC1"/>
            <w:tabs>
              <w:tab w:val="clear" w:pos="4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10329920" w:history="1">
            <w:r w:rsidR="00FB07B8" w:rsidRPr="00E03A13">
              <w:rPr>
                <w:rStyle w:val="Hyperlink"/>
                <w:noProof/>
              </w:rPr>
              <w:t>1.</w:t>
            </w:r>
            <w:r w:rsidR="00FB07B8" w:rsidRPr="00E03A13">
              <w:rPr>
                <w:rFonts w:asciiTheme="minorHAnsi" w:eastAsiaTheme="minorEastAsia" w:hAnsiTheme="minorHAnsi" w:cstheme="minorBidi"/>
                <w:noProof/>
                <w:lang w:val="en-US"/>
              </w:rPr>
              <w:tab/>
            </w:r>
            <w:r w:rsidR="00FB07B8" w:rsidRPr="00E03A13">
              <w:rPr>
                <w:rStyle w:val="Hyperlink"/>
                <w:noProof/>
              </w:rPr>
              <w:t>HISTORY</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_Toc110329920 \h </w:instrText>
            </w:r>
            <w:r w:rsidR="00FB07B8" w:rsidRPr="00E03A13">
              <w:rPr>
                <w:noProof/>
                <w:webHidden/>
              </w:rPr>
            </w:r>
            <w:r w:rsidR="00FB07B8" w:rsidRPr="00E03A13">
              <w:rPr>
                <w:noProof/>
                <w:webHidden/>
              </w:rPr>
              <w:fldChar w:fldCharType="separate"/>
            </w:r>
            <w:r w:rsidR="00FB07B8" w:rsidRPr="00E03A13">
              <w:rPr>
                <w:noProof/>
                <w:webHidden/>
              </w:rPr>
              <w:t>2</w:t>
            </w:r>
            <w:r w:rsidR="00FB07B8" w:rsidRPr="00E03A13">
              <w:rPr>
                <w:noProof/>
                <w:webHidden/>
              </w:rPr>
              <w:fldChar w:fldCharType="end"/>
            </w:r>
          </w:hyperlink>
        </w:p>
        <w:p w14:paraId="68E5F685" w14:textId="6B4DFE57" w:rsidR="00FB07B8" w:rsidRPr="00E03A13" w:rsidRDefault="00E03A13" w:rsidP="00FD15A1">
          <w:pPr>
            <w:pStyle w:val="TOC1"/>
            <w:tabs>
              <w:tab w:val="clear" w:pos="450"/>
            </w:tabs>
            <w:rPr>
              <w:rFonts w:asciiTheme="minorHAnsi" w:eastAsiaTheme="minorEastAsia" w:hAnsiTheme="minorHAnsi" w:cstheme="minorBidi"/>
              <w:noProof/>
              <w:lang w:val="en-US"/>
            </w:rPr>
          </w:pPr>
          <w:hyperlink w:anchor="_Toc110329921" w:history="1">
            <w:r w:rsidR="00FB07B8" w:rsidRPr="00E03A13">
              <w:rPr>
                <w:rStyle w:val="Hyperlink"/>
                <w:noProof/>
              </w:rPr>
              <w:t>2.</w:t>
            </w:r>
            <w:r w:rsidR="00FB07B8" w:rsidRPr="00E03A13">
              <w:rPr>
                <w:rFonts w:asciiTheme="minorHAnsi" w:eastAsiaTheme="minorEastAsia" w:hAnsiTheme="minorHAnsi" w:cstheme="minorBidi"/>
                <w:noProof/>
                <w:lang w:val="en-US"/>
              </w:rPr>
              <w:tab/>
            </w:r>
            <w:r w:rsidR="00FB07B8" w:rsidRPr="00E03A13">
              <w:rPr>
                <w:rStyle w:val="Hyperlink"/>
                <w:bCs/>
                <w:noProof/>
              </w:rPr>
              <w:t xml:space="preserve">APPLICATION </w:t>
            </w:r>
            <w:r w:rsidR="00FB07B8" w:rsidRPr="00E03A13">
              <w:rPr>
                <w:rStyle w:val="Hyperlink"/>
                <w:noProof/>
              </w:rPr>
              <w:t xml:space="preserve">– (Guidance for </w:t>
            </w:r>
            <w:r w:rsidR="00F8170D" w:rsidRPr="00E03A13">
              <w:rPr>
                <w:rStyle w:val="Hyperlink"/>
                <w:noProof/>
              </w:rPr>
              <w:t>P</w:t>
            </w:r>
            <w:r w:rsidR="00FB07B8" w:rsidRPr="00E03A13">
              <w:rPr>
                <w:rStyle w:val="Hyperlink"/>
                <w:noProof/>
              </w:rPr>
              <w:t xml:space="preserve">harmacovigilance </w:t>
            </w:r>
            <w:r w:rsidR="00F8170D" w:rsidRPr="00E03A13">
              <w:rPr>
                <w:rStyle w:val="Hyperlink"/>
                <w:noProof/>
              </w:rPr>
              <w:t>Stakeholders</w:t>
            </w:r>
            <w:r w:rsidR="00FB07B8" w:rsidRPr="00E03A13">
              <w:rPr>
                <w:rStyle w:val="Hyperlink"/>
                <w:noProof/>
              </w:rPr>
              <w:t>)</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_Toc110329921 \h </w:instrText>
            </w:r>
            <w:r w:rsidR="00FB07B8" w:rsidRPr="00E03A13">
              <w:rPr>
                <w:noProof/>
                <w:webHidden/>
              </w:rPr>
            </w:r>
            <w:r w:rsidR="00FB07B8" w:rsidRPr="00E03A13">
              <w:rPr>
                <w:noProof/>
                <w:webHidden/>
              </w:rPr>
              <w:fldChar w:fldCharType="separate"/>
            </w:r>
            <w:r w:rsidR="00FB07B8" w:rsidRPr="00E03A13">
              <w:rPr>
                <w:noProof/>
                <w:webHidden/>
              </w:rPr>
              <w:t>2</w:t>
            </w:r>
            <w:r w:rsidR="00FB07B8" w:rsidRPr="00E03A13">
              <w:rPr>
                <w:noProof/>
                <w:webHidden/>
              </w:rPr>
              <w:fldChar w:fldCharType="end"/>
            </w:r>
          </w:hyperlink>
        </w:p>
        <w:p w14:paraId="592F3A16" w14:textId="735F2E07" w:rsidR="00FB07B8" w:rsidRPr="00E03A13" w:rsidRDefault="00E03A13" w:rsidP="00FD15A1">
          <w:pPr>
            <w:pStyle w:val="TOC1"/>
            <w:tabs>
              <w:tab w:val="clear" w:pos="450"/>
            </w:tabs>
            <w:rPr>
              <w:rFonts w:asciiTheme="minorHAnsi" w:eastAsiaTheme="minorEastAsia" w:hAnsiTheme="minorHAnsi" w:cstheme="minorBidi"/>
              <w:noProof/>
              <w:lang w:val="en-US"/>
            </w:rPr>
          </w:pPr>
          <w:hyperlink w:anchor="_Toc110329922" w:history="1">
            <w:r w:rsidR="00FB07B8" w:rsidRPr="00E03A13">
              <w:rPr>
                <w:rStyle w:val="Hyperlink"/>
                <w:noProof/>
              </w:rPr>
              <w:t>3.</w:t>
            </w:r>
            <w:r w:rsidR="00FB07B8" w:rsidRPr="00E03A13">
              <w:rPr>
                <w:rFonts w:asciiTheme="minorHAnsi" w:eastAsiaTheme="minorEastAsia" w:hAnsiTheme="minorHAnsi" w:cstheme="minorBidi"/>
                <w:noProof/>
                <w:lang w:val="en-US"/>
              </w:rPr>
              <w:tab/>
            </w:r>
            <w:r w:rsidR="00FB07B8" w:rsidRPr="00E03A13">
              <w:rPr>
                <w:rStyle w:val="Hyperlink"/>
                <w:noProof/>
              </w:rPr>
              <w:t>PURPOSE</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_Toc110329922 \h </w:instrText>
            </w:r>
            <w:r w:rsidR="00FB07B8" w:rsidRPr="00E03A13">
              <w:rPr>
                <w:noProof/>
                <w:webHidden/>
              </w:rPr>
            </w:r>
            <w:r w:rsidR="00FB07B8" w:rsidRPr="00E03A13">
              <w:rPr>
                <w:noProof/>
                <w:webHidden/>
              </w:rPr>
              <w:fldChar w:fldCharType="separate"/>
            </w:r>
            <w:r w:rsidR="00FB07B8" w:rsidRPr="00E03A13">
              <w:rPr>
                <w:noProof/>
                <w:webHidden/>
              </w:rPr>
              <w:t>2</w:t>
            </w:r>
            <w:r w:rsidR="00FB07B8" w:rsidRPr="00E03A13">
              <w:rPr>
                <w:noProof/>
                <w:webHidden/>
              </w:rPr>
              <w:fldChar w:fldCharType="end"/>
            </w:r>
          </w:hyperlink>
        </w:p>
        <w:p w14:paraId="03D43BCE" w14:textId="23E7A126" w:rsidR="00FB07B8" w:rsidRPr="00E03A13" w:rsidRDefault="00E03A13" w:rsidP="00FD15A1">
          <w:pPr>
            <w:pStyle w:val="TOC1"/>
            <w:tabs>
              <w:tab w:val="clear" w:pos="450"/>
            </w:tabs>
            <w:rPr>
              <w:rFonts w:asciiTheme="minorHAnsi" w:eastAsiaTheme="minorEastAsia" w:hAnsiTheme="minorHAnsi" w:cstheme="minorBidi"/>
              <w:noProof/>
              <w:lang w:val="en-US"/>
            </w:rPr>
          </w:pPr>
          <w:hyperlink w:anchor="_Toc110329923" w:history="1">
            <w:r w:rsidR="00FB07B8" w:rsidRPr="00E03A13">
              <w:rPr>
                <w:rStyle w:val="Hyperlink"/>
                <w:noProof/>
              </w:rPr>
              <w:t>4.</w:t>
            </w:r>
            <w:r w:rsidR="00FB07B8" w:rsidRPr="00E03A13">
              <w:rPr>
                <w:rFonts w:asciiTheme="minorHAnsi" w:eastAsiaTheme="minorEastAsia" w:hAnsiTheme="minorHAnsi" w:cstheme="minorBidi"/>
                <w:noProof/>
                <w:lang w:val="en-US"/>
              </w:rPr>
              <w:tab/>
            </w:r>
            <w:r w:rsidR="00FB07B8" w:rsidRPr="00E03A13">
              <w:rPr>
                <w:rStyle w:val="Hyperlink"/>
                <w:noProof/>
              </w:rPr>
              <w:t>INTRODUCTION</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_Toc110329923 \h </w:instrText>
            </w:r>
            <w:r w:rsidR="00FB07B8" w:rsidRPr="00E03A13">
              <w:rPr>
                <w:noProof/>
                <w:webHidden/>
              </w:rPr>
            </w:r>
            <w:r w:rsidR="00FB07B8" w:rsidRPr="00E03A13">
              <w:rPr>
                <w:noProof/>
                <w:webHidden/>
              </w:rPr>
              <w:fldChar w:fldCharType="separate"/>
            </w:r>
            <w:r w:rsidR="00FB07B8" w:rsidRPr="00E03A13">
              <w:rPr>
                <w:noProof/>
                <w:webHidden/>
              </w:rPr>
              <w:t>4</w:t>
            </w:r>
            <w:r w:rsidR="00FB07B8" w:rsidRPr="00E03A13">
              <w:rPr>
                <w:noProof/>
                <w:webHidden/>
              </w:rPr>
              <w:fldChar w:fldCharType="end"/>
            </w:r>
          </w:hyperlink>
        </w:p>
        <w:p w14:paraId="00071133" w14:textId="30E3041B" w:rsidR="00FB07B8" w:rsidRPr="00E03A13" w:rsidRDefault="00E03A13" w:rsidP="00FD15A1">
          <w:pPr>
            <w:pStyle w:val="TOC1"/>
            <w:tabs>
              <w:tab w:val="clear" w:pos="450"/>
            </w:tabs>
            <w:rPr>
              <w:rFonts w:asciiTheme="minorHAnsi" w:eastAsiaTheme="minorEastAsia" w:hAnsiTheme="minorHAnsi" w:cstheme="minorBidi"/>
              <w:noProof/>
              <w:lang w:val="en-US"/>
            </w:rPr>
          </w:pPr>
          <w:hyperlink w:anchor="_Toc110329924" w:history="1">
            <w:r w:rsidR="00FB07B8" w:rsidRPr="00E03A13">
              <w:rPr>
                <w:rStyle w:val="Hyperlink"/>
                <w:noProof/>
              </w:rPr>
              <w:t>5.</w:t>
            </w:r>
            <w:r w:rsidR="00FB07B8" w:rsidRPr="00E03A13">
              <w:rPr>
                <w:rFonts w:asciiTheme="minorHAnsi" w:eastAsiaTheme="minorEastAsia" w:hAnsiTheme="minorHAnsi" w:cstheme="minorBidi"/>
                <w:noProof/>
                <w:lang w:val="en-US"/>
              </w:rPr>
              <w:tab/>
            </w:r>
            <w:r w:rsidR="00FB07B8" w:rsidRPr="00E03A13">
              <w:rPr>
                <w:rStyle w:val="Hyperlink"/>
                <w:noProof/>
              </w:rPr>
              <w:t>DEFINITION AND ACRONYMS</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_Toc110329924 \h </w:instrText>
            </w:r>
            <w:r w:rsidR="00FB07B8" w:rsidRPr="00E03A13">
              <w:rPr>
                <w:noProof/>
                <w:webHidden/>
              </w:rPr>
            </w:r>
            <w:r w:rsidR="00FB07B8" w:rsidRPr="00E03A13">
              <w:rPr>
                <w:noProof/>
                <w:webHidden/>
              </w:rPr>
              <w:fldChar w:fldCharType="separate"/>
            </w:r>
            <w:r w:rsidR="00FB07B8" w:rsidRPr="00E03A13">
              <w:rPr>
                <w:noProof/>
                <w:webHidden/>
              </w:rPr>
              <w:t>4</w:t>
            </w:r>
            <w:r w:rsidR="00FB07B8" w:rsidRPr="00E03A13">
              <w:rPr>
                <w:noProof/>
                <w:webHidden/>
              </w:rPr>
              <w:fldChar w:fldCharType="end"/>
            </w:r>
          </w:hyperlink>
        </w:p>
        <w:p w14:paraId="2A2B9052" w14:textId="5F9E0AEB" w:rsidR="00FB07B8" w:rsidRPr="00E03A13" w:rsidRDefault="00E03A13" w:rsidP="00FD15A1">
          <w:pPr>
            <w:pStyle w:val="TOC1"/>
            <w:tabs>
              <w:tab w:val="clear" w:pos="450"/>
            </w:tabs>
            <w:rPr>
              <w:rFonts w:asciiTheme="minorHAnsi" w:eastAsiaTheme="minorEastAsia" w:hAnsiTheme="minorHAnsi" w:cstheme="minorBidi"/>
              <w:noProof/>
              <w:lang w:val="en-US"/>
            </w:rPr>
          </w:pPr>
          <w:hyperlink w:anchor="_Toc110329925" w:history="1">
            <w:r w:rsidR="00FB07B8" w:rsidRPr="00E03A13">
              <w:rPr>
                <w:rStyle w:val="Hyperlink"/>
                <w:noProof/>
              </w:rPr>
              <w:t>6.</w:t>
            </w:r>
            <w:r w:rsidR="00FB07B8" w:rsidRPr="00E03A13">
              <w:rPr>
                <w:rFonts w:asciiTheme="minorHAnsi" w:eastAsiaTheme="minorEastAsia" w:hAnsiTheme="minorHAnsi" w:cstheme="minorBidi"/>
                <w:noProof/>
                <w:lang w:val="en-US"/>
              </w:rPr>
              <w:tab/>
            </w:r>
            <w:r w:rsidR="00FB07B8" w:rsidRPr="00E03A13">
              <w:rPr>
                <w:rStyle w:val="Hyperlink"/>
                <w:noProof/>
              </w:rPr>
              <w:t>CHAPTERS</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_Toc110329925 \h </w:instrText>
            </w:r>
            <w:r w:rsidR="00FB07B8" w:rsidRPr="00E03A13">
              <w:rPr>
                <w:noProof/>
                <w:webHidden/>
              </w:rPr>
            </w:r>
            <w:r w:rsidR="00FB07B8" w:rsidRPr="00E03A13">
              <w:rPr>
                <w:noProof/>
                <w:webHidden/>
              </w:rPr>
              <w:fldChar w:fldCharType="separate"/>
            </w:r>
            <w:r w:rsidR="00FB07B8" w:rsidRPr="00E03A13">
              <w:rPr>
                <w:noProof/>
                <w:webHidden/>
              </w:rPr>
              <w:t>9</w:t>
            </w:r>
            <w:r w:rsidR="00FB07B8" w:rsidRPr="00E03A13">
              <w:rPr>
                <w:noProof/>
                <w:webHidden/>
              </w:rPr>
              <w:fldChar w:fldCharType="end"/>
            </w:r>
          </w:hyperlink>
        </w:p>
        <w:p w14:paraId="644C5582" w14:textId="224EC974"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26" w:history="1">
            <w:r w:rsidR="00FB07B8" w:rsidRPr="00E03A13">
              <w:rPr>
                <w:rStyle w:val="Hyperlink"/>
                <w:bCs/>
                <w:noProof/>
              </w:rPr>
              <w:t>1.</w:t>
            </w:r>
            <w:r w:rsidR="00FB07B8" w:rsidRPr="00E03A13">
              <w:rPr>
                <w:rFonts w:asciiTheme="minorHAnsi" w:eastAsiaTheme="minorEastAsia" w:hAnsiTheme="minorHAnsi" w:cstheme="minorBidi"/>
                <w:noProof/>
                <w:lang w:val="en-US"/>
              </w:rPr>
              <w:tab/>
            </w:r>
            <w:r w:rsidR="00FB07B8" w:rsidRPr="00E03A13">
              <w:rPr>
                <w:rStyle w:val="Hyperlink"/>
                <w:noProof/>
              </w:rPr>
              <w:t>STRUCTURE OF PHARMACOVIGILANCE PROGRAMME OF PAKISTAN</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_Toc110329926 \h </w:instrText>
            </w:r>
            <w:r w:rsidR="00FB07B8" w:rsidRPr="00E03A13">
              <w:rPr>
                <w:noProof/>
                <w:webHidden/>
              </w:rPr>
            </w:r>
            <w:r w:rsidR="00FB07B8" w:rsidRPr="00E03A13">
              <w:rPr>
                <w:noProof/>
                <w:webHidden/>
              </w:rPr>
              <w:fldChar w:fldCharType="separate"/>
            </w:r>
            <w:r w:rsidR="00FB07B8" w:rsidRPr="00E03A13">
              <w:rPr>
                <w:noProof/>
                <w:webHidden/>
              </w:rPr>
              <w:t>10</w:t>
            </w:r>
            <w:r w:rsidR="00FB07B8" w:rsidRPr="00E03A13">
              <w:rPr>
                <w:noProof/>
                <w:webHidden/>
              </w:rPr>
              <w:fldChar w:fldCharType="end"/>
            </w:r>
          </w:hyperlink>
        </w:p>
        <w:p w14:paraId="5F793AC9" w14:textId="69E69431"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27" w:history="1">
            <w:r w:rsidR="00FB07B8" w:rsidRPr="00E03A13">
              <w:rPr>
                <w:rStyle w:val="Hyperlink"/>
                <w:bCs/>
                <w:noProof/>
              </w:rPr>
              <w:t>2.</w:t>
            </w:r>
            <w:r w:rsidR="00FB07B8" w:rsidRPr="00E03A13">
              <w:rPr>
                <w:rFonts w:asciiTheme="minorHAnsi" w:eastAsiaTheme="minorEastAsia" w:hAnsiTheme="minorHAnsi" w:cstheme="minorBidi"/>
                <w:noProof/>
                <w:lang w:val="en-US"/>
              </w:rPr>
              <w:tab/>
            </w:r>
            <w:r w:rsidR="00FB07B8" w:rsidRPr="00E03A13">
              <w:rPr>
                <w:rStyle w:val="Hyperlink"/>
                <w:noProof/>
              </w:rPr>
              <w:t>STAKEHOLDERS OF PHARMACOVIGILANCE IN PAKISTAN.</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_Toc110329927 \h </w:instrText>
            </w:r>
            <w:r w:rsidR="00FB07B8" w:rsidRPr="00E03A13">
              <w:rPr>
                <w:noProof/>
                <w:webHidden/>
              </w:rPr>
            </w:r>
            <w:r w:rsidR="00FB07B8" w:rsidRPr="00E03A13">
              <w:rPr>
                <w:noProof/>
                <w:webHidden/>
              </w:rPr>
              <w:fldChar w:fldCharType="separate"/>
            </w:r>
            <w:r w:rsidR="00FB07B8" w:rsidRPr="00E03A13">
              <w:rPr>
                <w:noProof/>
                <w:webHidden/>
              </w:rPr>
              <w:t>20</w:t>
            </w:r>
            <w:r w:rsidR="00FB07B8" w:rsidRPr="00E03A13">
              <w:rPr>
                <w:noProof/>
                <w:webHidden/>
              </w:rPr>
              <w:fldChar w:fldCharType="end"/>
            </w:r>
          </w:hyperlink>
        </w:p>
        <w:p w14:paraId="48D113B3" w14:textId="2E16497B"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28" w:history="1">
            <w:r w:rsidR="00FB07B8" w:rsidRPr="00E03A13">
              <w:rPr>
                <w:rStyle w:val="Hyperlink"/>
                <w:bCs/>
                <w:noProof/>
              </w:rPr>
              <w:t>3.</w:t>
            </w:r>
            <w:r w:rsidR="00FB07B8" w:rsidRPr="00E03A13">
              <w:rPr>
                <w:rFonts w:asciiTheme="minorHAnsi" w:eastAsiaTheme="minorEastAsia" w:hAnsiTheme="minorHAnsi" w:cstheme="minorBidi"/>
                <w:noProof/>
                <w:lang w:val="en-US"/>
              </w:rPr>
              <w:tab/>
            </w:r>
            <w:r w:rsidR="00FB07B8" w:rsidRPr="00E03A13">
              <w:rPr>
                <w:rStyle w:val="Hyperlink"/>
                <w:bCs/>
                <w:noProof/>
              </w:rPr>
              <w:t>BASIC CONCEPTS OF PHARMACOVIGILANCE</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_Toc110329928 \h </w:instrText>
            </w:r>
            <w:r w:rsidR="00FB07B8" w:rsidRPr="00E03A13">
              <w:rPr>
                <w:noProof/>
                <w:webHidden/>
              </w:rPr>
            </w:r>
            <w:r w:rsidR="00FB07B8" w:rsidRPr="00E03A13">
              <w:rPr>
                <w:noProof/>
                <w:webHidden/>
              </w:rPr>
              <w:fldChar w:fldCharType="separate"/>
            </w:r>
            <w:r w:rsidR="00FB07B8" w:rsidRPr="00E03A13">
              <w:rPr>
                <w:noProof/>
                <w:webHidden/>
              </w:rPr>
              <w:t>27</w:t>
            </w:r>
            <w:r w:rsidR="00FB07B8" w:rsidRPr="00E03A13">
              <w:rPr>
                <w:noProof/>
                <w:webHidden/>
              </w:rPr>
              <w:fldChar w:fldCharType="end"/>
            </w:r>
          </w:hyperlink>
        </w:p>
        <w:p w14:paraId="17ED9C56" w14:textId="0097D8BE"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29" w:history="1">
            <w:r w:rsidR="00FB07B8" w:rsidRPr="00E03A13">
              <w:rPr>
                <w:rStyle w:val="Hyperlink"/>
                <w:bCs/>
                <w:noProof/>
              </w:rPr>
              <w:t>4.</w:t>
            </w:r>
            <w:r w:rsidR="00FB07B8" w:rsidRPr="00E03A13">
              <w:rPr>
                <w:rFonts w:asciiTheme="minorHAnsi" w:eastAsiaTheme="minorEastAsia" w:hAnsiTheme="minorHAnsi" w:cstheme="minorBidi"/>
                <w:noProof/>
                <w:lang w:val="en-US"/>
              </w:rPr>
              <w:tab/>
            </w:r>
            <w:r w:rsidR="00FB07B8" w:rsidRPr="00E03A13">
              <w:rPr>
                <w:rStyle w:val="Hyperlink"/>
                <w:bCs/>
                <w:noProof/>
              </w:rPr>
              <w:t>GUIDELINES FOR REPORTING OF PHARMACOVIGILANCE DATA</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_Toc110329929 \h </w:instrText>
            </w:r>
            <w:r w:rsidR="00FB07B8" w:rsidRPr="00E03A13">
              <w:rPr>
                <w:noProof/>
                <w:webHidden/>
              </w:rPr>
            </w:r>
            <w:r w:rsidR="00FB07B8" w:rsidRPr="00E03A13">
              <w:rPr>
                <w:noProof/>
                <w:webHidden/>
              </w:rPr>
              <w:fldChar w:fldCharType="separate"/>
            </w:r>
            <w:r w:rsidR="00FB07B8" w:rsidRPr="00E03A13">
              <w:rPr>
                <w:noProof/>
                <w:webHidden/>
              </w:rPr>
              <w:t>33</w:t>
            </w:r>
            <w:r w:rsidR="00FB07B8" w:rsidRPr="00E03A13">
              <w:rPr>
                <w:noProof/>
                <w:webHidden/>
              </w:rPr>
              <w:fldChar w:fldCharType="end"/>
            </w:r>
          </w:hyperlink>
        </w:p>
        <w:p w14:paraId="11934EB6" w14:textId="04731733"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30" w:history="1">
            <w:r w:rsidR="00FB07B8" w:rsidRPr="00E03A13">
              <w:rPr>
                <w:rStyle w:val="Hyperlink"/>
                <w:bCs/>
                <w:noProof/>
              </w:rPr>
              <w:t>5.</w:t>
            </w:r>
            <w:r w:rsidR="00FB07B8" w:rsidRPr="00E03A13">
              <w:rPr>
                <w:rFonts w:asciiTheme="minorHAnsi" w:eastAsiaTheme="minorEastAsia" w:hAnsiTheme="minorHAnsi" w:cstheme="minorBidi"/>
                <w:noProof/>
                <w:lang w:val="en-US"/>
              </w:rPr>
              <w:tab/>
            </w:r>
            <w:r w:rsidR="00FB07B8" w:rsidRPr="00E03A13">
              <w:rPr>
                <w:rStyle w:val="Hyperlink"/>
                <w:bCs/>
                <w:noProof/>
              </w:rPr>
              <w:t>TYPES OF SURVEILLANCE IN PAKISTAN.</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_Toc110329930 \h </w:instrText>
            </w:r>
            <w:r w:rsidR="00FB07B8" w:rsidRPr="00E03A13">
              <w:rPr>
                <w:noProof/>
                <w:webHidden/>
              </w:rPr>
            </w:r>
            <w:r w:rsidR="00FB07B8" w:rsidRPr="00E03A13">
              <w:rPr>
                <w:noProof/>
                <w:webHidden/>
              </w:rPr>
              <w:fldChar w:fldCharType="separate"/>
            </w:r>
            <w:r w:rsidR="00FB07B8" w:rsidRPr="00E03A13">
              <w:rPr>
                <w:noProof/>
                <w:webHidden/>
              </w:rPr>
              <w:t>48</w:t>
            </w:r>
            <w:r w:rsidR="00FB07B8" w:rsidRPr="00E03A13">
              <w:rPr>
                <w:noProof/>
                <w:webHidden/>
              </w:rPr>
              <w:fldChar w:fldCharType="end"/>
            </w:r>
          </w:hyperlink>
        </w:p>
        <w:p w14:paraId="5B3F49D2" w14:textId="483A6C54"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31" w:history="1">
            <w:r w:rsidR="00FB07B8" w:rsidRPr="00E03A13">
              <w:rPr>
                <w:rStyle w:val="Hyperlink"/>
                <w:bCs/>
                <w:noProof/>
              </w:rPr>
              <w:t>6.</w:t>
            </w:r>
            <w:r w:rsidR="00FB07B8" w:rsidRPr="00E03A13">
              <w:rPr>
                <w:rFonts w:asciiTheme="minorHAnsi" w:eastAsiaTheme="minorEastAsia" w:hAnsiTheme="minorHAnsi" w:cstheme="minorBidi"/>
                <w:noProof/>
                <w:lang w:val="en-US"/>
              </w:rPr>
              <w:tab/>
            </w:r>
            <w:r w:rsidR="00FB07B8" w:rsidRPr="00E03A13">
              <w:rPr>
                <w:rStyle w:val="Hyperlink"/>
                <w:bCs/>
                <w:noProof/>
              </w:rPr>
              <w:t>ASSESSMENT OF ADVERSE EVENTS AND OTHER TOOLS</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_Toc110329931 \h </w:instrText>
            </w:r>
            <w:r w:rsidR="00FB07B8" w:rsidRPr="00E03A13">
              <w:rPr>
                <w:noProof/>
                <w:webHidden/>
              </w:rPr>
            </w:r>
            <w:r w:rsidR="00FB07B8" w:rsidRPr="00E03A13">
              <w:rPr>
                <w:noProof/>
                <w:webHidden/>
              </w:rPr>
              <w:fldChar w:fldCharType="separate"/>
            </w:r>
            <w:r w:rsidR="00FB07B8" w:rsidRPr="00E03A13">
              <w:rPr>
                <w:noProof/>
                <w:webHidden/>
              </w:rPr>
              <w:t>55</w:t>
            </w:r>
            <w:r w:rsidR="00FB07B8" w:rsidRPr="00E03A13">
              <w:rPr>
                <w:noProof/>
                <w:webHidden/>
              </w:rPr>
              <w:fldChar w:fldCharType="end"/>
            </w:r>
          </w:hyperlink>
        </w:p>
        <w:p w14:paraId="25FFF5DA" w14:textId="200B287F"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32" w:history="1">
            <w:r w:rsidR="00FB07B8" w:rsidRPr="00E03A13">
              <w:rPr>
                <w:rStyle w:val="Hyperlink"/>
                <w:bCs/>
                <w:noProof/>
              </w:rPr>
              <w:t>7.</w:t>
            </w:r>
            <w:r w:rsidR="00FB07B8" w:rsidRPr="00E03A13">
              <w:rPr>
                <w:rFonts w:asciiTheme="minorHAnsi" w:eastAsiaTheme="minorEastAsia" w:hAnsiTheme="minorHAnsi" w:cstheme="minorBidi"/>
                <w:noProof/>
                <w:lang w:val="en-US"/>
              </w:rPr>
              <w:tab/>
            </w:r>
            <w:r w:rsidR="00FB07B8" w:rsidRPr="00E03A13">
              <w:rPr>
                <w:rStyle w:val="Hyperlink"/>
                <w:bCs/>
                <w:noProof/>
              </w:rPr>
              <w:t>SIGNAL MANAGEMENT.</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_Toc110329932 \h </w:instrText>
            </w:r>
            <w:r w:rsidR="00FB07B8" w:rsidRPr="00E03A13">
              <w:rPr>
                <w:noProof/>
                <w:webHidden/>
              </w:rPr>
            </w:r>
            <w:r w:rsidR="00FB07B8" w:rsidRPr="00E03A13">
              <w:rPr>
                <w:noProof/>
                <w:webHidden/>
              </w:rPr>
              <w:fldChar w:fldCharType="separate"/>
            </w:r>
            <w:r w:rsidR="00FB07B8" w:rsidRPr="00E03A13">
              <w:rPr>
                <w:noProof/>
                <w:webHidden/>
              </w:rPr>
              <w:t>68</w:t>
            </w:r>
            <w:r w:rsidR="00FB07B8" w:rsidRPr="00E03A13">
              <w:rPr>
                <w:noProof/>
                <w:webHidden/>
              </w:rPr>
              <w:fldChar w:fldCharType="end"/>
            </w:r>
          </w:hyperlink>
        </w:p>
        <w:p w14:paraId="678769A2" w14:textId="69FE7989"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33" w:history="1">
            <w:r w:rsidR="00FB07B8" w:rsidRPr="00E03A13">
              <w:rPr>
                <w:rStyle w:val="Hyperlink"/>
                <w:bCs/>
                <w:noProof/>
              </w:rPr>
              <w:t>8.</w:t>
            </w:r>
            <w:r w:rsidR="00FB07B8" w:rsidRPr="00E03A13">
              <w:rPr>
                <w:rFonts w:asciiTheme="minorHAnsi" w:eastAsiaTheme="minorEastAsia" w:hAnsiTheme="minorHAnsi" w:cstheme="minorBidi"/>
                <w:noProof/>
                <w:lang w:val="en-US"/>
              </w:rPr>
              <w:tab/>
            </w:r>
            <w:r w:rsidR="00FB07B8" w:rsidRPr="00E03A13">
              <w:rPr>
                <w:rStyle w:val="Hyperlink"/>
                <w:bCs/>
                <w:noProof/>
              </w:rPr>
              <w:t>SAFETY COMMUNICATIONS &amp; RISK MINIMIZATION MEASURES</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_Toc110329933 \h </w:instrText>
            </w:r>
            <w:r w:rsidR="00FB07B8" w:rsidRPr="00E03A13">
              <w:rPr>
                <w:noProof/>
                <w:webHidden/>
              </w:rPr>
            </w:r>
            <w:r w:rsidR="00FB07B8" w:rsidRPr="00E03A13">
              <w:rPr>
                <w:noProof/>
                <w:webHidden/>
              </w:rPr>
              <w:fldChar w:fldCharType="separate"/>
            </w:r>
            <w:r w:rsidR="00FB07B8" w:rsidRPr="00E03A13">
              <w:rPr>
                <w:noProof/>
                <w:webHidden/>
              </w:rPr>
              <w:t>74</w:t>
            </w:r>
            <w:r w:rsidR="00FB07B8" w:rsidRPr="00E03A13">
              <w:rPr>
                <w:noProof/>
                <w:webHidden/>
              </w:rPr>
              <w:fldChar w:fldCharType="end"/>
            </w:r>
          </w:hyperlink>
        </w:p>
        <w:p w14:paraId="50EC69F5" w14:textId="3CF82782"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34" w:history="1">
            <w:r w:rsidR="00FB07B8" w:rsidRPr="00E03A13">
              <w:rPr>
                <w:rStyle w:val="Hyperlink"/>
                <w:bCs/>
                <w:noProof/>
              </w:rPr>
              <w:t>9.</w:t>
            </w:r>
            <w:r w:rsidR="00FB07B8" w:rsidRPr="00E03A13">
              <w:rPr>
                <w:rFonts w:asciiTheme="minorHAnsi" w:eastAsiaTheme="minorEastAsia" w:hAnsiTheme="minorHAnsi" w:cstheme="minorBidi"/>
                <w:noProof/>
                <w:lang w:val="en-US"/>
              </w:rPr>
              <w:tab/>
            </w:r>
            <w:r w:rsidR="00FB07B8" w:rsidRPr="00E03A13">
              <w:rPr>
                <w:rStyle w:val="Hyperlink"/>
                <w:bCs/>
                <w:noProof/>
              </w:rPr>
              <w:t>TRAINING, CAPACITY BUILDING AND AWARENESS CAMPAIGN.</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_Toc110329934 \h </w:instrText>
            </w:r>
            <w:r w:rsidR="00FB07B8" w:rsidRPr="00E03A13">
              <w:rPr>
                <w:noProof/>
                <w:webHidden/>
              </w:rPr>
            </w:r>
            <w:r w:rsidR="00FB07B8" w:rsidRPr="00E03A13">
              <w:rPr>
                <w:noProof/>
                <w:webHidden/>
              </w:rPr>
              <w:fldChar w:fldCharType="separate"/>
            </w:r>
            <w:r w:rsidR="00FB07B8" w:rsidRPr="00E03A13">
              <w:rPr>
                <w:noProof/>
                <w:webHidden/>
              </w:rPr>
              <w:t>82</w:t>
            </w:r>
            <w:r w:rsidR="00FB07B8" w:rsidRPr="00E03A13">
              <w:rPr>
                <w:noProof/>
                <w:webHidden/>
              </w:rPr>
              <w:fldChar w:fldCharType="end"/>
            </w:r>
          </w:hyperlink>
        </w:p>
        <w:p w14:paraId="18A9AA62" w14:textId="6A5170E8" w:rsidR="00FB07B8" w:rsidRPr="00E03A13" w:rsidRDefault="00E03A13" w:rsidP="00FD15A1">
          <w:pPr>
            <w:pStyle w:val="TOC1"/>
            <w:tabs>
              <w:tab w:val="clear" w:pos="450"/>
            </w:tabs>
            <w:ind w:left="630"/>
            <w:rPr>
              <w:rFonts w:asciiTheme="minorHAnsi" w:eastAsiaTheme="minorEastAsia" w:hAnsiTheme="minorHAnsi" w:cstheme="minorBidi"/>
              <w:noProof/>
              <w:lang w:val="en-US"/>
            </w:rPr>
          </w:pPr>
          <w:hyperlink w:anchor="_Toc110329944" w:history="1">
            <w:r w:rsidR="00FB07B8" w:rsidRPr="00E03A13">
              <w:rPr>
                <w:rStyle w:val="Hyperlink"/>
                <w:bCs/>
                <w:noProof/>
              </w:rPr>
              <w:t>10.COLLABORATION WITH INTERNATIONAL STAKEHOLDERS</w:t>
            </w:r>
            <w:r w:rsidR="00FB07B8" w:rsidRPr="00E03A13">
              <w:rPr>
                <w:rStyle w:val="Hyperlink"/>
                <w:noProof/>
              </w:rPr>
              <w:t>.</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_Toc110329944 \h </w:instrText>
            </w:r>
            <w:r w:rsidR="00FB07B8" w:rsidRPr="00E03A13">
              <w:rPr>
                <w:noProof/>
                <w:webHidden/>
              </w:rPr>
            </w:r>
            <w:r w:rsidR="00FB07B8" w:rsidRPr="00E03A13">
              <w:rPr>
                <w:noProof/>
                <w:webHidden/>
              </w:rPr>
              <w:fldChar w:fldCharType="separate"/>
            </w:r>
            <w:r w:rsidR="00FB07B8" w:rsidRPr="00E03A13">
              <w:rPr>
                <w:noProof/>
                <w:webHidden/>
              </w:rPr>
              <w:t>86</w:t>
            </w:r>
            <w:r w:rsidR="00FB07B8" w:rsidRPr="00E03A13">
              <w:rPr>
                <w:noProof/>
                <w:webHidden/>
              </w:rPr>
              <w:fldChar w:fldCharType="end"/>
            </w:r>
          </w:hyperlink>
        </w:p>
        <w:p w14:paraId="3FFA24EE" w14:textId="38225C49" w:rsidR="00FB07B8" w:rsidRPr="00E03A13" w:rsidRDefault="00E03A13" w:rsidP="00FD15A1">
          <w:pPr>
            <w:pStyle w:val="TOC1"/>
            <w:tabs>
              <w:tab w:val="clear" w:pos="450"/>
            </w:tabs>
            <w:ind w:left="630"/>
            <w:jc w:val="both"/>
            <w:rPr>
              <w:rFonts w:asciiTheme="minorHAnsi" w:eastAsiaTheme="minorEastAsia" w:hAnsiTheme="minorHAnsi" w:cstheme="minorBidi"/>
              <w:noProof/>
              <w:lang w:val="en-US"/>
            </w:rPr>
          </w:pPr>
          <w:hyperlink w:anchor="_Toc110329945" w:history="1">
            <w:r w:rsidR="00FB07B8" w:rsidRPr="00E03A13">
              <w:rPr>
                <w:rStyle w:val="Hyperlink"/>
                <w:bCs/>
                <w:noProof/>
              </w:rPr>
              <w:t>11.PHARMACOVIGILANCE INDICATORS FOR ASSESSMENT OF PHARMACOVIGILANCE SYSTEM.</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_Toc110329945 \h </w:instrText>
            </w:r>
            <w:r w:rsidR="00FB07B8" w:rsidRPr="00E03A13">
              <w:rPr>
                <w:noProof/>
                <w:webHidden/>
              </w:rPr>
            </w:r>
            <w:r w:rsidR="00FB07B8" w:rsidRPr="00E03A13">
              <w:rPr>
                <w:noProof/>
                <w:webHidden/>
              </w:rPr>
              <w:fldChar w:fldCharType="separate"/>
            </w:r>
            <w:r w:rsidR="00FB07B8" w:rsidRPr="00E03A13">
              <w:rPr>
                <w:noProof/>
                <w:webHidden/>
              </w:rPr>
              <w:t>91</w:t>
            </w:r>
            <w:r w:rsidR="00FB07B8" w:rsidRPr="00E03A13">
              <w:rPr>
                <w:noProof/>
                <w:webHidden/>
              </w:rPr>
              <w:fldChar w:fldCharType="end"/>
            </w:r>
          </w:hyperlink>
        </w:p>
        <w:p w14:paraId="7A678231" w14:textId="7832CB93" w:rsidR="00FB07B8" w:rsidRDefault="00E03A13">
          <w:pPr>
            <w:pStyle w:val="TOC1"/>
            <w:rPr>
              <w:rFonts w:asciiTheme="minorHAnsi" w:eastAsiaTheme="minorEastAsia" w:hAnsiTheme="minorHAnsi" w:cstheme="minorBidi"/>
              <w:noProof/>
              <w:lang w:val="en-US"/>
            </w:rPr>
          </w:pPr>
          <w:hyperlink w:anchor="_Toc110329946" w:history="1">
            <w:r w:rsidR="00FB07B8" w:rsidRPr="00E03A13">
              <w:rPr>
                <w:rStyle w:val="Hyperlink"/>
                <w:noProof/>
              </w:rPr>
              <w:t>ANNEXURE A</w:t>
            </w:r>
            <w:r w:rsidR="00FB07B8" w:rsidRPr="00E03A13">
              <w:rPr>
                <w:noProof/>
                <w:webHidden/>
              </w:rPr>
              <w:tab/>
            </w:r>
            <w:r w:rsidR="00FB07B8" w:rsidRPr="00E03A13">
              <w:rPr>
                <w:noProof/>
                <w:webHidden/>
              </w:rPr>
              <w:fldChar w:fldCharType="begin"/>
            </w:r>
            <w:r w:rsidR="00FB07B8" w:rsidRPr="00E03A13">
              <w:rPr>
                <w:noProof/>
                <w:webHidden/>
              </w:rPr>
              <w:instrText xml:space="preserve"> PAGEREF _Toc110329946 \h </w:instrText>
            </w:r>
            <w:r w:rsidR="00FB07B8" w:rsidRPr="00E03A13">
              <w:rPr>
                <w:noProof/>
                <w:webHidden/>
              </w:rPr>
            </w:r>
            <w:r w:rsidR="00FB07B8" w:rsidRPr="00E03A13">
              <w:rPr>
                <w:noProof/>
                <w:webHidden/>
              </w:rPr>
              <w:fldChar w:fldCharType="separate"/>
            </w:r>
            <w:r w:rsidR="00FB07B8" w:rsidRPr="00E03A13">
              <w:rPr>
                <w:noProof/>
                <w:webHidden/>
              </w:rPr>
              <w:t>98</w:t>
            </w:r>
            <w:r w:rsidR="00FB07B8" w:rsidRPr="00E03A13">
              <w:rPr>
                <w:noProof/>
                <w:webHidden/>
              </w:rPr>
              <w:fldChar w:fldCharType="end"/>
            </w:r>
          </w:hyperlink>
        </w:p>
        <w:p w14:paraId="6FFA99CB" w14:textId="72884C91" w:rsidR="00FB07B8" w:rsidRDefault="00E03A13">
          <w:pPr>
            <w:pStyle w:val="TOC1"/>
            <w:rPr>
              <w:rFonts w:asciiTheme="minorHAnsi" w:eastAsiaTheme="minorEastAsia" w:hAnsiTheme="minorHAnsi" w:cstheme="minorBidi"/>
              <w:noProof/>
              <w:lang w:val="en-US"/>
            </w:rPr>
          </w:pPr>
          <w:hyperlink w:anchor="_Toc110329947" w:history="1">
            <w:r w:rsidR="00FB07B8" w:rsidRPr="003F74AD">
              <w:rPr>
                <w:rStyle w:val="Hyperlink"/>
                <w:noProof/>
              </w:rPr>
              <w:t>ANNEXURE B</w:t>
            </w:r>
            <w:r w:rsidR="00FB07B8">
              <w:rPr>
                <w:noProof/>
                <w:webHidden/>
              </w:rPr>
              <w:tab/>
            </w:r>
            <w:r w:rsidR="00FB07B8">
              <w:rPr>
                <w:noProof/>
                <w:webHidden/>
              </w:rPr>
              <w:fldChar w:fldCharType="begin"/>
            </w:r>
            <w:r w:rsidR="00FB07B8">
              <w:rPr>
                <w:noProof/>
                <w:webHidden/>
              </w:rPr>
              <w:instrText xml:space="preserve"> PAGEREF _Toc110329947 \h </w:instrText>
            </w:r>
            <w:r w:rsidR="00FB07B8">
              <w:rPr>
                <w:noProof/>
                <w:webHidden/>
              </w:rPr>
            </w:r>
            <w:r w:rsidR="00FB07B8">
              <w:rPr>
                <w:noProof/>
                <w:webHidden/>
              </w:rPr>
              <w:fldChar w:fldCharType="separate"/>
            </w:r>
            <w:r w:rsidR="00FB07B8">
              <w:rPr>
                <w:noProof/>
                <w:webHidden/>
              </w:rPr>
              <w:t>100</w:t>
            </w:r>
            <w:r w:rsidR="00FB07B8">
              <w:rPr>
                <w:noProof/>
                <w:webHidden/>
              </w:rPr>
              <w:fldChar w:fldCharType="end"/>
            </w:r>
          </w:hyperlink>
        </w:p>
        <w:p w14:paraId="7BEAF4A8" w14:textId="67C158D7" w:rsidR="00FB07B8" w:rsidRDefault="00E03A13">
          <w:pPr>
            <w:pStyle w:val="TOC1"/>
            <w:rPr>
              <w:rFonts w:asciiTheme="minorHAnsi" w:eastAsiaTheme="minorEastAsia" w:hAnsiTheme="minorHAnsi" w:cstheme="minorBidi"/>
              <w:noProof/>
              <w:lang w:val="en-US"/>
            </w:rPr>
          </w:pPr>
          <w:hyperlink w:anchor="_Toc110329948" w:history="1">
            <w:r w:rsidR="00FB07B8" w:rsidRPr="003F74AD">
              <w:rPr>
                <w:rStyle w:val="Hyperlink"/>
                <w:noProof/>
              </w:rPr>
              <w:t>ANNEXURE C</w:t>
            </w:r>
            <w:r w:rsidR="00FB07B8">
              <w:rPr>
                <w:noProof/>
                <w:webHidden/>
              </w:rPr>
              <w:tab/>
            </w:r>
            <w:r w:rsidR="00FB07B8">
              <w:rPr>
                <w:noProof/>
                <w:webHidden/>
              </w:rPr>
              <w:fldChar w:fldCharType="begin"/>
            </w:r>
            <w:r w:rsidR="00FB07B8">
              <w:rPr>
                <w:noProof/>
                <w:webHidden/>
              </w:rPr>
              <w:instrText xml:space="preserve"> PAGEREF _Toc110329948 \h </w:instrText>
            </w:r>
            <w:r w:rsidR="00FB07B8">
              <w:rPr>
                <w:noProof/>
                <w:webHidden/>
              </w:rPr>
            </w:r>
            <w:r w:rsidR="00FB07B8">
              <w:rPr>
                <w:noProof/>
                <w:webHidden/>
              </w:rPr>
              <w:fldChar w:fldCharType="separate"/>
            </w:r>
            <w:r w:rsidR="00FB07B8">
              <w:rPr>
                <w:noProof/>
                <w:webHidden/>
              </w:rPr>
              <w:t>105</w:t>
            </w:r>
            <w:r w:rsidR="00FB07B8">
              <w:rPr>
                <w:noProof/>
                <w:webHidden/>
              </w:rPr>
              <w:fldChar w:fldCharType="end"/>
            </w:r>
          </w:hyperlink>
        </w:p>
        <w:p w14:paraId="7FB8D13B" w14:textId="1CBDF499" w:rsidR="00FB07B8" w:rsidRDefault="00E03A13">
          <w:pPr>
            <w:pStyle w:val="TOC1"/>
            <w:rPr>
              <w:rFonts w:asciiTheme="minorHAnsi" w:eastAsiaTheme="minorEastAsia" w:hAnsiTheme="minorHAnsi" w:cstheme="minorBidi"/>
              <w:noProof/>
              <w:lang w:val="en-US"/>
            </w:rPr>
          </w:pPr>
          <w:hyperlink w:anchor="_Toc110329949" w:history="1">
            <w:r w:rsidR="00FB07B8" w:rsidRPr="003F74AD">
              <w:rPr>
                <w:rStyle w:val="Hyperlink"/>
                <w:noProof/>
              </w:rPr>
              <w:t>ANNEXURE D</w:t>
            </w:r>
            <w:r w:rsidR="00FB07B8">
              <w:rPr>
                <w:noProof/>
                <w:webHidden/>
              </w:rPr>
              <w:tab/>
            </w:r>
            <w:r w:rsidR="00FB07B8">
              <w:rPr>
                <w:noProof/>
                <w:webHidden/>
              </w:rPr>
              <w:fldChar w:fldCharType="begin"/>
            </w:r>
            <w:r w:rsidR="00FB07B8">
              <w:rPr>
                <w:noProof/>
                <w:webHidden/>
              </w:rPr>
              <w:instrText xml:space="preserve"> PAGEREF _Toc110329949 \h </w:instrText>
            </w:r>
            <w:r w:rsidR="00FB07B8">
              <w:rPr>
                <w:noProof/>
                <w:webHidden/>
              </w:rPr>
            </w:r>
            <w:r w:rsidR="00FB07B8">
              <w:rPr>
                <w:noProof/>
                <w:webHidden/>
              </w:rPr>
              <w:fldChar w:fldCharType="separate"/>
            </w:r>
            <w:r w:rsidR="00FB07B8">
              <w:rPr>
                <w:noProof/>
                <w:webHidden/>
              </w:rPr>
              <w:t>106</w:t>
            </w:r>
            <w:r w:rsidR="00FB07B8">
              <w:rPr>
                <w:noProof/>
                <w:webHidden/>
              </w:rPr>
              <w:fldChar w:fldCharType="end"/>
            </w:r>
          </w:hyperlink>
        </w:p>
        <w:p w14:paraId="4A81776E" w14:textId="6E8B3008" w:rsidR="008411BF" w:rsidRDefault="008411BF">
          <w:r>
            <w:rPr>
              <w:b/>
              <w:bCs/>
              <w:noProof/>
            </w:rPr>
            <w:fldChar w:fldCharType="end"/>
          </w:r>
        </w:p>
      </w:sdtContent>
    </w:sdt>
    <w:p w14:paraId="33ECE5E3" w14:textId="77777777" w:rsidR="00E50D30" w:rsidRDefault="00E50D30" w:rsidP="00E50D30">
      <w:pPr>
        <w:rPr>
          <w:sz w:val="18"/>
          <w:szCs w:val="16"/>
        </w:rPr>
      </w:pPr>
    </w:p>
    <w:p w14:paraId="223C10A8" w14:textId="77777777" w:rsidR="00E50D30" w:rsidRDefault="00E50D30" w:rsidP="00E50D30">
      <w:pPr>
        <w:rPr>
          <w:sz w:val="18"/>
          <w:szCs w:val="16"/>
        </w:rPr>
      </w:pPr>
    </w:p>
    <w:p w14:paraId="7557B2AD" w14:textId="77777777" w:rsidR="00E50D30" w:rsidRDefault="00E50D30" w:rsidP="00E50D30">
      <w:pPr>
        <w:rPr>
          <w:sz w:val="18"/>
          <w:szCs w:val="16"/>
        </w:rPr>
      </w:pPr>
    </w:p>
    <w:p w14:paraId="766B1D65" w14:textId="77777777" w:rsidR="008926E1" w:rsidRPr="00E170B1" w:rsidRDefault="00492617" w:rsidP="009A3AE3">
      <w:pPr>
        <w:widowControl/>
        <w:spacing w:after="160" w:line="259" w:lineRule="auto"/>
        <w:jc w:val="both"/>
        <w:rPr>
          <w:sz w:val="24"/>
          <w:szCs w:val="24"/>
        </w:rPr>
      </w:pPr>
      <w:r w:rsidRPr="00CA0509">
        <w:rPr>
          <w:sz w:val="24"/>
          <w:szCs w:val="24"/>
        </w:rPr>
        <w:br w:type="page"/>
      </w:r>
    </w:p>
    <w:p w14:paraId="4FA36838" w14:textId="0CFD4169" w:rsidR="006D4F17" w:rsidRPr="008F0D0C" w:rsidRDefault="000642A7" w:rsidP="006F399C">
      <w:pPr>
        <w:pStyle w:val="Level1DRAP"/>
        <w:ind w:left="90" w:hanging="90"/>
      </w:pPr>
      <w:bookmarkStart w:id="4" w:name="_Toc110329923"/>
      <w:r w:rsidRPr="008F0D0C">
        <w:lastRenderedPageBreak/>
        <w:t>INTRODUCTION</w:t>
      </w:r>
      <w:bookmarkEnd w:id="4"/>
      <w:r w:rsidRPr="008F0D0C">
        <w:t xml:space="preserve"> </w:t>
      </w:r>
    </w:p>
    <w:p w14:paraId="2EF7624E" w14:textId="021A893A" w:rsidR="00474D22" w:rsidRPr="00840405" w:rsidRDefault="000B474A" w:rsidP="00840405">
      <w:pPr>
        <w:spacing w:before="120" w:after="120" w:line="360" w:lineRule="auto"/>
        <w:ind w:left="540"/>
        <w:jc w:val="both"/>
        <w:rPr>
          <w:sz w:val="24"/>
          <w:szCs w:val="24"/>
        </w:rPr>
      </w:pPr>
      <w:r w:rsidRPr="00840405">
        <w:rPr>
          <w:sz w:val="24"/>
          <w:szCs w:val="24"/>
        </w:rPr>
        <w:t xml:space="preserve">Although </w:t>
      </w:r>
      <w:r w:rsidR="00E03A13" w:rsidRPr="00840405">
        <w:rPr>
          <w:sz w:val="24"/>
          <w:szCs w:val="24"/>
        </w:rPr>
        <w:t xml:space="preserve">Therapeutic Goods </w:t>
      </w:r>
      <w:r w:rsidR="0022127F" w:rsidRPr="00840405">
        <w:rPr>
          <w:sz w:val="24"/>
          <w:szCs w:val="24"/>
        </w:rPr>
        <w:t xml:space="preserve">such as </w:t>
      </w:r>
      <w:r w:rsidRPr="00840405">
        <w:rPr>
          <w:sz w:val="24"/>
          <w:szCs w:val="24"/>
        </w:rPr>
        <w:t>d</w:t>
      </w:r>
      <w:r w:rsidR="001213EE" w:rsidRPr="00840405">
        <w:rPr>
          <w:sz w:val="24"/>
          <w:szCs w:val="24"/>
        </w:rPr>
        <w:t>rugs, vaccine</w:t>
      </w:r>
      <w:r w:rsidR="000E67C0" w:rsidRPr="00840405">
        <w:rPr>
          <w:sz w:val="24"/>
          <w:szCs w:val="24"/>
        </w:rPr>
        <w:t>s</w:t>
      </w:r>
      <w:r w:rsidR="001213EE" w:rsidRPr="00840405">
        <w:rPr>
          <w:sz w:val="24"/>
          <w:szCs w:val="24"/>
        </w:rPr>
        <w:t xml:space="preserve"> and biological are extensively tested in human</w:t>
      </w:r>
      <w:r w:rsidR="000E67C0" w:rsidRPr="00840405">
        <w:rPr>
          <w:sz w:val="24"/>
          <w:szCs w:val="24"/>
        </w:rPr>
        <w:t>s</w:t>
      </w:r>
      <w:r w:rsidR="001213EE" w:rsidRPr="00840405">
        <w:rPr>
          <w:sz w:val="24"/>
          <w:szCs w:val="24"/>
        </w:rPr>
        <w:t xml:space="preserve"> during clinical trials</w:t>
      </w:r>
      <w:r w:rsidRPr="00840405">
        <w:rPr>
          <w:sz w:val="24"/>
          <w:szCs w:val="24"/>
        </w:rPr>
        <w:t xml:space="preserve">, </w:t>
      </w:r>
      <w:r w:rsidR="001213EE" w:rsidRPr="00840405">
        <w:rPr>
          <w:sz w:val="24"/>
          <w:szCs w:val="24"/>
        </w:rPr>
        <w:t xml:space="preserve">everything related to their safety i.e. </w:t>
      </w:r>
      <w:r w:rsidR="0022127F" w:rsidRPr="00840405">
        <w:rPr>
          <w:sz w:val="24"/>
          <w:szCs w:val="24"/>
        </w:rPr>
        <w:t>ADRs</w:t>
      </w:r>
      <w:r w:rsidR="001213EE" w:rsidRPr="00840405">
        <w:rPr>
          <w:sz w:val="24"/>
          <w:szCs w:val="24"/>
        </w:rPr>
        <w:t xml:space="preserve"> </w:t>
      </w:r>
      <w:r w:rsidR="00655EEB" w:rsidRPr="00840405">
        <w:rPr>
          <w:sz w:val="24"/>
          <w:szCs w:val="24"/>
        </w:rPr>
        <w:t>cannot</w:t>
      </w:r>
      <w:bookmarkStart w:id="5" w:name="_GoBack"/>
      <w:bookmarkEnd w:id="5"/>
      <w:r w:rsidR="001213EE" w:rsidRPr="00840405">
        <w:rPr>
          <w:sz w:val="24"/>
          <w:szCs w:val="24"/>
        </w:rPr>
        <w:t xml:space="preserve"> be determined</w:t>
      </w:r>
      <w:r w:rsidRPr="00840405">
        <w:rPr>
          <w:sz w:val="24"/>
          <w:szCs w:val="24"/>
        </w:rPr>
        <w:t xml:space="preserve"> in this short period</w:t>
      </w:r>
      <w:r w:rsidR="00474D22" w:rsidRPr="00840405">
        <w:rPr>
          <w:sz w:val="24"/>
          <w:szCs w:val="24"/>
        </w:rPr>
        <w:t xml:space="preserve">. </w:t>
      </w:r>
      <w:r w:rsidR="001213EE" w:rsidRPr="00840405">
        <w:rPr>
          <w:sz w:val="24"/>
          <w:szCs w:val="24"/>
        </w:rPr>
        <w:t xml:space="preserve">Therefore, after </w:t>
      </w:r>
      <w:r w:rsidR="00474D22" w:rsidRPr="00840405">
        <w:rPr>
          <w:sz w:val="24"/>
          <w:szCs w:val="24"/>
        </w:rPr>
        <w:t xml:space="preserve">registration </w:t>
      </w:r>
      <w:r w:rsidR="001213EE" w:rsidRPr="00840405">
        <w:rPr>
          <w:sz w:val="24"/>
          <w:szCs w:val="24"/>
        </w:rPr>
        <w:t>when these</w:t>
      </w:r>
      <w:r w:rsidRPr="00840405">
        <w:rPr>
          <w:sz w:val="24"/>
          <w:szCs w:val="24"/>
        </w:rPr>
        <w:t xml:space="preserve"> new therapeutic goods</w:t>
      </w:r>
      <w:r w:rsidR="001213EE" w:rsidRPr="00840405">
        <w:rPr>
          <w:sz w:val="24"/>
          <w:szCs w:val="24"/>
        </w:rPr>
        <w:t xml:space="preserve"> are </w:t>
      </w:r>
      <w:r w:rsidR="00474D22" w:rsidRPr="00840405">
        <w:rPr>
          <w:sz w:val="24"/>
          <w:szCs w:val="24"/>
        </w:rPr>
        <w:t>release</w:t>
      </w:r>
      <w:r w:rsidR="001213EE" w:rsidRPr="00840405">
        <w:rPr>
          <w:sz w:val="24"/>
          <w:szCs w:val="24"/>
        </w:rPr>
        <w:t>d</w:t>
      </w:r>
      <w:r w:rsidR="00474D22" w:rsidRPr="00840405">
        <w:rPr>
          <w:sz w:val="24"/>
          <w:szCs w:val="24"/>
        </w:rPr>
        <w:t xml:space="preserve"> into </w:t>
      </w:r>
      <w:r w:rsidR="000E67C0" w:rsidRPr="00840405">
        <w:rPr>
          <w:sz w:val="24"/>
          <w:szCs w:val="24"/>
        </w:rPr>
        <w:t xml:space="preserve">the </w:t>
      </w:r>
      <w:r w:rsidR="00474D22" w:rsidRPr="00840405">
        <w:rPr>
          <w:sz w:val="24"/>
          <w:szCs w:val="24"/>
        </w:rPr>
        <w:t xml:space="preserve">market </w:t>
      </w:r>
      <w:r w:rsidR="0022127F" w:rsidRPr="00840405">
        <w:rPr>
          <w:sz w:val="24"/>
          <w:szCs w:val="24"/>
        </w:rPr>
        <w:t>and a large population is exposed</w:t>
      </w:r>
      <w:r w:rsidR="009055DA" w:rsidRPr="00840405">
        <w:rPr>
          <w:sz w:val="24"/>
          <w:szCs w:val="24"/>
        </w:rPr>
        <w:t xml:space="preserve">, </w:t>
      </w:r>
      <w:r w:rsidR="00556584" w:rsidRPr="00840405">
        <w:rPr>
          <w:sz w:val="24"/>
          <w:szCs w:val="24"/>
        </w:rPr>
        <w:t>some</w:t>
      </w:r>
      <w:r w:rsidR="00474D22" w:rsidRPr="00840405">
        <w:rPr>
          <w:sz w:val="24"/>
          <w:szCs w:val="24"/>
        </w:rPr>
        <w:t xml:space="preserve"> new and unexpected serious </w:t>
      </w:r>
      <w:r w:rsidR="0022127F" w:rsidRPr="00840405">
        <w:rPr>
          <w:sz w:val="24"/>
          <w:szCs w:val="24"/>
        </w:rPr>
        <w:t>ADRs</w:t>
      </w:r>
      <w:r w:rsidR="00474D22" w:rsidRPr="00840405">
        <w:rPr>
          <w:sz w:val="24"/>
          <w:szCs w:val="24"/>
        </w:rPr>
        <w:t xml:space="preserve"> can occur. </w:t>
      </w:r>
      <w:r w:rsidR="00B167CD" w:rsidRPr="00840405">
        <w:rPr>
          <w:sz w:val="24"/>
          <w:szCs w:val="24"/>
        </w:rPr>
        <w:t>The limitations of the clinical trials are: the numbers of trial subjects are less than patients of real practice; trials subjects are highly selective and vulnerable groups such as pregnant women, the elderly, children and patients with other disease and concomitant drugs are excluded in clinical trials; and duration of clinical trials is of few years as compared to real practice. Owing to these limitations</w:t>
      </w:r>
      <w:r w:rsidR="00E070A2" w:rsidRPr="00840405">
        <w:rPr>
          <w:sz w:val="24"/>
          <w:szCs w:val="24"/>
        </w:rPr>
        <w:t xml:space="preserve"> and</w:t>
      </w:r>
      <w:r w:rsidR="00474D22" w:rsidRPr="00840405">
        <w:rPr>
          <w:sz w:val="24"/>
          <w:szCs w:val="24"/>
        </w:rPr>
        <w:t xml:space="preserve"> </w:t>
      </w:r>
      <w:r w:rsidR="00E070A2" w:rsidRPr="00840405">
        <w:rPr>
          <w:sz w:val="24"/>
          <w:szCs w:val="24"/>
        </w:rPr>
        <w:t xml:space="preserve">in the aftermath of the Thalidomide tragedy, </w:t>
      </w:r>
      <w:r w:rsidR="00474D22" w:rsidRPr="00840405">
        <w:rPr>
          <w:sz w:val="24"/>
          <w:szCs w:val="24"/>
        </w:rPr>
        <w:t>a dire need</w:t>
      </w:r>
      <w:r w:rsidR="00B167CD" w:rsidRPr="00840405">
        <w:rPr>
          <w:sz w:val="24"/>
          <w:szCs w:val="24"/>
        </w:rPr>
        <w:t xml:space="preserve"> of post-marketing safety monitoring was felt across the globe. Among the number of initiatives taken for safety monitoring at that time was to</w:t>
      </w:r>
      <w:r w:rsidR="00474D22" w:rsidRPr="00840405">
        <w:rPr>
          <w:sz w:val="24"/>
          <w:szCs w:val="24"/>
        </w:rPr>
        <w:t xml:space="preserve"> have a vibrant </w:t>
      </w:r>
      <w:r w:rsidR="00840202" w:rsidRPr="00840405">
        <w:rPr>
          <w:sz w:val="24"/>
          <w:szCs w:val="24"/>
        </w:rPr>
        <w:t xml:space="preserve">National </w:t>
      </w:r>
      <w:r w:rsidR="00474D22" w:rsidRPr="00840405">
        <w:rPr>
          <w:sz w:val="24"/>
          <w:szCs w:val="24"/>
        </w:rPr>
        <w:t>pharmacovigilance centre</w:t>
      </w:r>
      <w:r w:rsidR="00B167CD" w:rsidRPr="00840405">
        <w:rPr>
          <w:sz w:val="24"/>
          <w:szCs w:val="24"/>
        </w:rPr>
        <w:t xml:space="preserve"> in the country along with legislative backup</w:t>
      </w:r>
      <w:r w:rsidR="00474D22" w:rsidRPr="00840405">
        <w:rPr>
          <w:sz w:val="24"/>
          <w:szCs w:val="24"/>
        </w:rPr>
        <w:t>. In line with</w:t>
      </w:r>
      <w:r w:rsidR="00B167CD" w:rsidRPr="00840405">
        <w:rPr>
          <w:sz w:val="24"/>
          <w:szCs w:val="24"/>
        </w:rPr>
        <w:t xml:space="preserve"> this</w:t>
      </w:r>
      <w:r w:rsidR="00474D22" w:rsidRPr="00840405">
        <w:rPr>
          <w:sz w:val="24"/>
          <w:szCs w:val="24"/>
        </w:rPr>
        <w:t xml:space="preserve"> international practice, the DRAP has established the National Pharmacovigilance Centre (NPC), under the Division of Pharmacy Services, DRAP, Islamabad, to monitor therapeutic goods’ safety across the country. </w:t>
      </w:r>
      <w:r w:rsidR="00B167CD" w:rsidRPr="00840405">
        <w:rPr>
          <w:sz w:val="24"/>
          <w:szCs w:val="24"/>
        </w:rPr>
        <w:t>To this end, the centre started National and International coordination for the development and promotion of pharmacovigilance in the country. With its endeavours, Pakistan becomes the 134</w:t>
      </w:r>
      <w:r w:rsidR="00B167CD" w:rsidRPr="00840405">
        <w:rPr>
          <w:sz w:val="24"/>
          <w:szCs w:val="24"/>
          <w:vertAlign w:val="superscript"/>
        </w:rPr>
        <w:t>th</w:t>
      </w:r>
      <w:r w:rsidR="00B167CD" w:rsidRPr="00840405">
        <w:rPr>
          <w:sz w:val="24"/>
          <w:szCs w:val="24"/>
        </w:rPr>
        <w:t xml:space="preserve"> Full member of the World Health Organization Programme for International Drug Monitoring (WHO-PIDM) in 2018. </w:t>
      </w:r>
      <w:r w:rsidR="008410D4">
        <w:rPr>
          <w:sz w:val="24"/>
          <w:szCs w:val="24"/>
        </w:rPr>
        <w:t xml:space="preserve">The </w:t>
      </w:r>
      <w:r w:rsidR="00474D22" w:rsidRPr="00840405">
        <w:rPr>
          <w:sz w:val="24"/>
          <w:szCs w:val="24"/>
        </w:rPr>
        <w:t xml:space="preserve">NPC </w:t>
      </w:r>
      <w:r w:rsidR="00B167CD" w:rsidRPr="00840405">
        <w:rPr>
          <w:sz w:val="24"/>
          <w:szCs w:val="24"/>
        </w:rPr>
        <w:t xml:space="preserve">also </w:t>
      </w:r>
      <w:r w:rsidR="00474D22" w:rsidRPr="00840405">
        <w:rPr>
          <w:sz w:val="24"/>
          <w:szCs w:val="24"/>
        </w:rPr>
        <w:t xml:space="preserve">has </w:t>
      </w:r>
      <w:r w:rsidR="007B3812" w:rsidRPr="00840405">
        <w:rPr>
          <w:sz w:val="24"/>
          <w:szCs w:val="24"/>
        </w:rPr>
        <w:t>developed</w:t>
      </w:r>
      <w:r w:rsidR="00474D22" w:rsidRPr="00840405">
        <w:rPr>
          <w:sz w:val="24"/>
          <w:szCs w:val="24"/>
        </w:rPr>
        <w:t xml:space="preserve"> different reporting forms </w:t>
      </w:r>
      <w:r w:rsidR="00B167CD" w:rsidRPr="00840405">
        <w:rPr>
          <w:sz w:val="24"/>
          <w:szCs w:val="24"/>
        </w:rPr>
        <w:t xml:space="preserve">and guidelines </w:t>
      </w:r>
      <w:r w:rsidR="00474D22" w:rsidRPr="00840405">
        <w:rPr>
          <w:sz w:val="24"/>
          <w:szCs w:val="24"/>
        </w:rPr>
        <w:t xml:space="preserve">that are available through </w:t>
      </w:r>
      <w:r w:rsidR="000E67C0" w:rsidRPr="00840405">
        <w:rPr>
          <w:sz w:val="24"/>
          <w:szCs w:val="24"/>
        </w:rPr>
        <w:t xml:space="preserve">the </w:t>
      </w:r>
      <w:r w:rsidR="009055DA" w:rsidRPr="00840405">
        <w:rPr>
          <w:sz w:val="24"/>
          <w:szCs w:val="24"/>
        </w:rPr>
        <w:t xml:space="preserve">official </w:t>
      </w:r>
      <w:r w:rsidR="00474D22" w:rsidRPr="00840405">
        <w:rPr>
          <w:sz w:val="24"/>
          <w:szCs w:val="24"/>
        </w:rPr>
        <w:t xml:space="preserve">website </w:t>
      </w:r>
      <w:r w:rsidR="00B167CD" w:rsidRPr="00840405">
        <w:rPr>
          <w:sz w:val="24"/>
          <w:szCs w:val="24"/>
        </w:rPr>
        <w:t>for stakeholders. With the promulgation of Pharmacovigilance Rules, 2022, it is now the legal obligation of pharmacovigilance stakeholders to establish their system and report the pharmacovigilance data to NPC.</w:t>
      </w:r>
    </w:p>
    <w:p w14:paraId="411981FD" w14:textId="128EBAA2" w:rsidR="002137C1" w:rsidRPr="00CF17B0" w:rsidRDefault="002137C1" w:rsidP="00CF17B0">
      <w:pPr>
        <w:widowControl/>
        <w:tabs>
          <w:tab w:val="left" w:pos="1080"/>
        </w:tabs>
        <w:spacing w:before="120" w:line="276" w:lineRule="auto"/>
        <w:jc w:val="both"/>
        <w:rPr>
          <w:sz w:val="24"/>
          <w:szCs w:val="24"/>
        </w:rPr>
      </w:pPr>
    </w:p>
    <w:p w14:paraId="080FB10C" w14:textId="1691859F" w:rsidR="00B10C2C" w:rsidRPr="00CF17B0" w:rsidRDefault="002137C1" w:rsidP="000435E2">
      <w:pPr>
        <w:pStyle w:val="Level1DRAP"/>
        <w:ind w:left="90" w:hanging="90"/>
      </w:pPr>
      <w:bookmarkStart w:id="6" w:name="_Toc110329924"/>
      <w:r w:rsidRPr="00CF17B0">
        <w:t>DEFINITION AND ACRONYMS</w:t>
      </w:r>
      <w:bookmarkEnd w:id="6"/>
    </w:p>
    <w:p w14:paraId="0F4A5B18" w14:textId="5FA6CBE2" w:rsidR="00DD727F" w:rsidRPr="00DD727F" w:rsidRDefault="002A7634" w:rsidP="00DD727F">
      <w:pPr>
        <w:ind w:left="3420" w:hanging="2250"/>
        <w:jc w:val="both"/>
        <w:rPr>
          <w:sz w:val="24"/>
          <w:szCs w:val="24"/>
        </w:rPr>
      </w:pPr>
      <w:r w:rsidRPr="00DD727F">
        <w:rPr>
          <w:b/>
          <w:bCs/>
          <w:sz w:val="24"/>
          <w:szCs w:val="24"/>
        </w:rPr>
        <w:t xml:space="preserve">Abuse of therapeutic good: </w:t>
      </w:r>
      <w:r w:rsidR="00F75193" w:rsidRPr="00DD727F">
        <w:rPr>
          <w:bCs/>
          <w:sz w:val="24"/>
          <w:szCs w:val="24"/>
        </w:rPr>
        <w:t xml:space="preserve">means </w:t>
      </w:r>
      <w:r w:rsidRPr="00DD727F">
        <w:rPr>
          <w:sz w:val="24"/>
          <w:szCs w:val="24"/>
        </w:rPr>
        <w:t>persistent or sporadic, intentional excessive use of therapeutic good which is accompanied by harmful physical or psychological effects;</w:t>
      </w:r>
    </w:p>
    <w:p w14:paraId="295C41DE" w14:textId="77777777" w:rsidR="00DD727F" w:rsidRPr="00DD727F" w:rsidRDefault="00DD727F" w:rsidP="00DD727F">
      <w:pPr>
        <w:jc w:val="both"/>
        <w:rPr>
          <w:sz w:val="24"/>
          <w:szCs w:val="24"/>
        </w:rPr>
      </w:pPr>
    </w:p>
    <w:p w14:paraId="611B9C09" w14:textId="69D99E79" w:rsidR="00DD727F" w:rsidRPr="001D63C5" w:rsidRDefault="00DD727F" w:rsidP="00DD727F">
      <w:pPr>
        <w:ind w:left="3420" w:hanging="2250"/>
        <w:jc w:val="both"/>
        <w:rPr>
          <w:sz w:val="24"/>
          <w:szCs w:val="24"/>
        </w:rPr>
      </w:pPr>
      <w:r w:rsidRPr="00DD727F">
        <w:rPr>
          <w:b/>
          <w:bCs/>
          <w:sz w:val="24"/>
          <w:szCs w:val="24"/>
        </w:rPr>
        <w:t>Active Surveillance:</w:t>
      </w:r>
      <w:r w:rsidRPr="00DD727F">
        <w:rPr>
          <w:sz w:val="24"/>
          <w:szCs w:val="24"/>
        </w:rPr>
        <w:tab/>
        <w:t xml:space="preserve"> </w:t>
      </w:r>
      <w:r w:rsidR="00F75193" w:rsidRPr="00DD727F">
        <w:rPr>
          <w:sz w:val="24"/>
          <w:szCs w:val="24"/>
        </w:rPr>
        <w:t xml:space="preserve">is </w:t>
      </w:r>
      <w:r w:rsidRPr="00DD727F">
        <w:rPr>
          <w:sz w:val="24"/>
          <w:szCs w:val="24"/>
        </w:rPr>
        <w:t>a process that involves, enhanced or targeted monitoring for certain events or therapeutic goods and seeks to ascertain completely the number of adverse events or adverse drug reactions through a continuous pre-planned process;</w:t>
      </w:r>
    </w:p>
    <w:p w14:paraId="41B8CE99" w14:textId="77777777" w:rsidR="002A7634" w:rsidRPr="001D63C5" w:rsidRDefault="002A7634" w:rsidP="002A7634">
      <w:pPr>
        <w:spacing w:before="360" w:after="360" w:line="276" w:lineRule="auto"/>
        <w:ind w:left="3420" w:hanging="2250"/>
        <w:jc w:val="both"/>
        <w:rPr>
          <w:iCs/>
          <w:sz w:val="24"/>
          <w:szCs w:val="24"/>
        </w:rPr>
      </w:pPr>
      <w:r w:rsidRPr="001D63C5">
        <w:rPr>
          <w:b/>
          <w:bCs/>
          <w:sz w:val="24"/>
          <w:szCs w:val="24"/>
        </w:rPr>
        <w:lastRenderedPageBreak/>
        <w:t>ADR:</w:t>
      </w:r>
      <w:r w:rsidRPr="001D63C5">
        <w:rPr>
          <w:b/>
          <w:bCs/>
          <w:sz w:val="24"/>
          <w:szCs w:val="24"/>
        </w:rPr>
        <w:tab/>
      </w:r>
      <w:r w:rsidRPr="001D63C5">
        <w:rPr>
          <w:b/>
          <w:bCs/>
          <w:i/>
          <w:iCs/>
          <w:sz w:val="24"/>
          <w:szCs w:val="24"/>
        </w:rPr>
        <w:t>“</w:t>
      </w:r>
      <w:r w:rsidRPr="001D63C5">
        <w:rPr>
          <w:i/>
          <w:iCs/>
          <w:sz w:val="24"/>
          <w:szCs w:val="24"/>
        </w:rPr>
        <w:t>Adverse Drug Reaction</w:t>
      </w:r>
      <w:r w:rsidRPr="001D63C5">
        <w:rPr>
          <w:sz w:val="24"/>
          <w:szCs w:val="24"/>
        </w:rPr>
        <w:t xml:space="preserve">” means response to drug or therapeutic goods which is noxious and unintended that occurs at doses normally used for the prophylaxis, diagnosis or therapy of disease or for the restoration, correction or modification of physiological function. </w:t>
      </w:r>
      <w:r w:rsidRPr="001D63C5">
        <w:rPr>
          <w:iCs/>
          <w:sz w:val="24"/>
          <w:szCs w:val="24"/>
        </w:rPr>
        <w:t>A response in this context means that a causal relationship between a therapeutic good and an adverse event is at least a reasonable possibility. An adverse reaction, in contrast to an adverse event, is characterised by the fact that a causal relationship between a therapeutic good and an occurrence is suspected.</w:t>
      </w:r>
    </w:p>
    <w:p w14:paraId="69DA9E8C" w14:textId="77777777" w:rsidR="002A7634" w:rsidRPr="001D63C5" w:rsidRDefault="002A7634" w:rsidP="002A7634">
      <w:pPr>
        <w:spacing w:before="360" w:after="360" w:line="276" w:lineRule="auto"/>
        <w:ind w:left="3420" w:hanging="2250"/>
        <w:jc w:val="both"/>
        <w:rPr>
          <w:sz w:val="24"/>
          <w:szCs w:val="24"/>
        </w:rPr>
      </w:pPr>
      <w:r w:rsidRPr="001D63C5">
        <w:rPr>
          <w:b/>
          <w:bCs/>
          <w:sz w:val="24"/>
          <w:szCs w:val="24"/>
        </w:rPr>
        <w:t>AE:</w:t>
      </w:r>
      <w:r w:rsidRPr="001D63C5">
        <w:rPr>
          <w:b/>
          <w:bCs/>
          <w:sz w:val="24"/>
          <w:szCs w:val="24"/>
        </w:rPr>
        <w:tab/>
      </w:r>
      <w:r w:rsidRPr="001D63C5">
        <w:rPr>
          <w:b/>
          <w:bCs/>
          <w:i/>
          <w:iCs/>
          <w:sz w:val="24"/>
          <w:szCs w:val="24"/>
        </w:rPr>
        <w:t>“</w:t>
      </w:r>
      <w:r w:rsidRPr="001D63C5">
        <w:rPr>
          <w:i/>
          <w:iCs/>
          <w:sz w:val="24"/>
          <w:szCs w:val="24"/>
        </w:rPr>
        <w:t>Adverse Event”</w:t>
      </w:r>
      <w:r w:rsidRPr="001D63C5">
        <w:rPr>
          <w:sz w:val="24"/>
          <w:szCs w:val="24"/>
        </w:rPr>
        <w:t xml:space="preserve"> means any untoward medical occurrence in a patient or clinical investigation subject administered a drug or therapeutic good and which does not necessarily have a causal relationship with this treatment.</w:t>
      </w:r>
    </w:p>
    <w:p w14:paraId="13FDC8E6" w14:textId="77777777" w:rsidR="0069183D" w:rsidRPr="001D63C5" w:rsidRDefault="002A7634" w:rsidP="0069183D">
      <w:pPr>
        <w:spacing w:before="360" w:after="360" w:line="276" w:lineRule="auto"/>
        <w:ind w:left="3420" w:hanging="2250"/>
        <w:jc w:val="both"/>
        <w:rPr>
          <w:sz w:val="24"/>
          <w:szCs w:val="24"/>
        </w:rPr>
      </w:pPr>
      <w:r w:rsidRPr="001D63C5">
        <w:rPr>
          <w:b/>
          <w:bCs/>
          <w:sz w:val="24"/>
          <w:szCs w:val="24"/>
        </w:rPr>
        <w:t>AEFI:</w:t>
      </w:r>
      <w:r w:rsidRPr="001D63C5">
        <w:rPr>
          <w:b/>
          <w:bCs/>
          <w:sz w:val="24"/>
          <w:szCs w:val="24"/>
        </w:rPr>
        <w:tab/>
      </w:r>
      <w:r w:rsidRPr="001D63C5">
        <w:rPr>
          <w:bCs/>
          <w:i/>
          <w:iCs/>
          <w:sz w:val="24"/>
          <w:szCs w:val="24"/>
        </w:rPr>
        <w:t>“Adverse Event Following Immunizations</w:t>
      </w:r>
      <w:r w:rsidRPr="001D63C5">
        <w:rPr>
          <w:bCs/>
          <w:sz w:val="24"/>
          <w:szCs w:val="24"/>
        </w:rPr>
        <w:t xml:space="preserve">” </w:t>
      </w:r>
      <w:r w:rsidRPr="001D63C5">
        <w:rPr>
          <w:sz w:val="24"/>
          <w:szCs w:val="24"/>
        </w:rPr>
        <w:t>means any untoward medical occurrence which follows immunization and which does not necessarily have a causal relationship with the usage of the vaccine</w:t>
      </w:r>
      <w:r w:rsidR="0069183D" w:rsidRPr="001D63C5">
        <w:rPr>
          <w:sz w:val="24"/>
          <w:szCs w:val="24"/>
        </w:rPr>
        <w:t>.</w:t>
      </w:r>
    </w:p>
    <w:p w14:paraId="482CA86F" w14:textId="3649BF7A" w:rsidR="0069183D" w:rsidRPr="001D63C5" w:rsidRDefault="0069183D" w:rsidP="0069183D">
      <w:pPr>
        <w:spacing w:before="360" w:after="360" w:line="276" w:lineRule="auto"/>
        <w:ind w:left="3420" w:hanging="2250"/>
        <w:jc w:val="both"/>
        <w:rPr>
          <w:sz w:val="24"/>
          <w:szCs w:val="24"/>
        </w:rPr>
      </w:pPr>
      <w:r w:rsidRPr="001D63C5">
        <w:rPr>
          <w:b/>
          <w:bCs/>
          <w:color w:val="000000" w:themeColor="text1"/>
          <w:sz w:val="24"/>
          <w:szCs w:val="24"/>
        </w:rPr>
        <w:t xml:space="preserve">Benefit-Risk Assessment: </w:t>
      </w:r>
      <w:r w:rsidR="00D82043" w:rsidRPr="001D63C5">
        <w:rPr>
          <w:bCs/>
          <w:color w:val="000000" w:themeColor="text1"/>
          <w:sz w:val="24"/>
          <w:szCs w:val="24"/>
        </w:rPr>
        <w:t xml:space="preserve">it </w:t>
      </w:r>
      <w:r w:rsidRPr="001D63C5">
        <w:rPr>
          <w:bCs/>
          <w:color w:val="000000" w:themeColor="text1"/>
          <w:sz w:val="24"/>
          <w:szCs w:val="24"/>
        </w:rPr>
        <w:t>i</w:t>
      </w:r>
      <w:r w:rsidRPr="001D63C5">
        <w:rPr>
          <w:color w:val="000000" w:themeColor="text1"/>
          <w:sz w:val="24"/>
          <w:szCs w:val="24"/>
          <w:shd w:val="clear" w:color="auto" w:fill="FFFFFF"/>
        </w:rPr>
        <w:t>s the continuous examination of the favourable and unfavourable results of a specific treatment (therapeutic good) to determine whether its </w:t>
      </w:r>
      <w:r w:rsidRPr="001D63C5">
        <w:rPr>
          <w:bCs/>
          <w:color w:val="000000" w:themeColor="text1"/>
          <w:sz w:val="24"/>
          <w:szCs w:val="24"/>
          <w:shd w:val="clear" w:color="auto" w:fill="FFFFFF"/>
        </w:rPr>
        <w:t>benefits</w:t>
      </w:r>
      <w:r w:rsidRPr="001D63C5">
        <w:rPr>
          <w:color w:val="000000" w:themeColor="text1"/>
          <w:sz w:val="24"/>
          <w:szCs w:val="24"/>
          <w:shd w:val="clear" w:color="auto" w:fill="FFFFFF"/>
        </w:rPr>
        <w:t> outweigh its </w:t>
      </w:r>
      <w:r w:rsidRPr="001D63C5">
        <w:rPr>
          <w:bCs/>
          <w:color w:val="000000" w:themeColor="text1"/>
          <w:sz w:val="24"/>
          <w:szCs w:val="24"/>
          <w:shd w:val="clear" w:color="auto" w:fill="FFFFFF"/>
        </w:rPr>
        <w:t>risks</w:t>
      </w:r>
      <w:r w:rsidRPr="001D63C5">
        <w:rPr>
          <w:color w:val="000000" w:themeColor="text1"/>
          <w:sz w:val="24"/>
          <w:szCs w:val="24"/>
          <w:shd w:val="clear" w:color="auto" w:fill="FFFFFF"/>
        </w:rPr>
        <w:t> in a specific condition</w:t>
      </w:r>
      <w:r w:rsidR="002023F2">
        <w:rPr>
          <w:color w:val="000000" w:themeColor="text1"/>
          <w:sz w:val="24"/>
          <w:szCs w:val="24"/>
          <w:shd w:val="clear" w:color="auto" w:fill="FFFFFF"/>
        </w:rPr>
        <w:t>.</w:t>
      </w:r>
    </w:p>
    <w:p w14:paraId="4E528502" w14:textId="18EA4958" w:rsidR="00506DB0" w:rsidRPr="001D63C5" w:rsidRDefault="002A7634" w:rsidP="00506DB0">
      <w:pPr>
        <w:spacing w:before="360" w:after="360" w:line="276" w:lineRule="auto"/>
        <w:ind w:left="3420" w:hanging="2250"/>
        <w:jc w:val="both"/>
        <w:rPr>
          <w:sz w:val="24"/>
          <w:szCs w:val="24"/>
        </w:rPr>
      </w:pPr>
      <w:r w:rsidRPr="001D63C5">
        <w:rPr>
          <w:b/>
          <w:bCs/>
          <w:sz w:val="24"/>
          <w:szCs w:val="24"/>
        </w:rPr>
        <w:t>DRAP:</w:t>
      </w:r>
      <w:r w:rsidRPr="001D63C5">
        <w:rPr>
          <w:sz w:val="24"/>
          <w:szCs w:val="24"/>
        </w:rPr>
        <w:tab/>
        <w:t>The Drug Regulatory Authority of Pakistan</w:t>
      </w:r>
      <w:r w:rsidR="009C444C">
        <w:rPr>
          <w:sz w:val="24"/>
          <w:szCs w:val="24"/>
        </w:rPr>
        <w:t>, established under the DRAP Act, 2012</w:t>
      </w:r>
      <w:r w:rsidRPr="001D63C5">
        <w:rPr>
          <w:sz w:val="24"/>
          <w:szCs w:val="24"/>
        </w:rPr>
        <w:t>.</w:t>
      </w:r>
    </w:p>
    <w:p w14:paraId="3FFA88C3" w14:textId="177CDB96" w:rsidR="00506DB0" w:rsidRPr="001D63C5" w:rsidRDefault="00506DB0" w:rsidP="00B928DF">
      <w:pPr>
        <w:spacing w:before="360" w:after="360" w:line="276" w:lineRule="auto"/>
        <w:ind w:left="3420" w:hanging="2250"/>
        <w:jc w:val="both"/>
        <w:rPr>
          <w:sz w:val="24"/>
          <w:szCs w:val="24"/>
        </w:rPr>
      </w:pPr>
      <w:r w:rsidRPr="001D63C5">
        <w:rPr>
          <w:b/>
          <w:bCs/>
          <w:color w:val="000000"/>
          <w:sz w:val="24"/>
          <w:szCs w:val="24"/>
        </w:rPr>
        <w:t xml:space="preserve">Disproportionality analysis: </w:t>
      </w:r>
      <w:r w:rsidR="00D82043" w:rsidRPr="001D63C5">
        <w:rPr>
          <w:color w:val="000000"/>
          <w:sz w:val="24"/>
          <w:szCs w:val="24"/>
        </w:rPr>
        <w:t xml:space="preserve">screening </w:t>
      </w:r>
      <w:r w:rsidRPr="001D63C5">
        <w:rPr>
          <w:color w:val="000000"/>
          <w:sz w:val="24"/>
          <w:szCs w:val="24"/>
        </w:rPr>
        <w:t xml:space="preserve">of ICSR databases for reporting rates which are higher than expected. For </w:t>
      </w:r>
      <w:r w:rsidR="00D82043" w:rsidRPr="001D63C5">
        <w:rPr>
          <w:color w:val="000000"/>
          <w:sz w:val="24"/>
          <w:szCs w:val="24"/>
        </w:rPr>
        <w:t>Drug</w:t>
      </w:r>
      <w:r w:rsidRPr="001D63C5">
        <w:rPr>
          <w:color w:val="000000"/>
          <w:sz w:val="24"/>
          <w:szCs w:val="24"/>
        </w:rPr>
        <w:t xml:space="preserve">-ADR pairs, common measures of disproportionality are the Proportional Reporting Ratio (PRR), the Reporting Odds Ratio (ROR), The Information Component (IC), and the Empirical Bayes Geometrical Mean (EBGM). There are also disproportionality measures for </w:t>
      </w:r>
      <w:r w:rsidR="00D82043" w:rsidRPr="001D63C5">
        <w:rPr>
          <w:color w:val="000000"/>
          <w:sz w:val="24"/>
          <w:szCs w:val="24"/>
        </w:rPr>
        <w:t>Drug</w:t>
      </w:r>
      <w:r w:rsidRPr="001D63C5">
        <w:rPr>
          <w:color w:val="000000"/>
          <w:sz w:val="24"/>
          <w:szCs w:val="24"/>
        </w:rPr>
        <w:t>-</w:t>
      </w:r>
      <w:r w:rsidR="00D82043" w:rsidRPr="001D63C5">
        <w:rPr>
          <w:color w:val="000000"/>
          <w:sz w:val="24"/>
          <w:szCs w:val="24"/>
        </w:rPr>
        <w:t>Drug</w:t>
      </w:r>
      <w:r w:rsidRPr="001D63C5">
        <w:rPr>
          <w:color w:val="000000"/>
          <w:sz w:val="24"/>
          <w:szCs w:val="24"/>
        </w:rPr>
        <w:t>-ADR triplets, such as Omega (Ω).</w:t>
      </w:r>
    </w:p>
    <w:p w14:paraId="725C5E2F" w14:textId="4650263C" w:rsidR="002A7634" w:rsidRDefault="002A7634" w:rsidP="002A7634">
      <w:pPr>
        <w:spacing w:before="360" w:after="360" w:line="276" w:lineRule="auto"/>
        <w:ind w:left="3420" w:hanging="2250"/>
        <w:jc w:val="both"/>
        <w:rPr>
          <w:sz w:val="24"/>
          <w:szCs w:val="24"/>
        </w:rPr>
      </w:pPr>
      <w:r w:rsidRPr="001D63C5">
        <w:rPr>
          <w:b/>
          <w:bCs/>
          <w:sz w:val="24"/>
          <w:szCs w:val="24"/>
        </w:rPr>
        <w:t>Causality Assessment:</w:t>
      </w:r>
      <w:r w:rsidRPr="001D63C5">
        <w:rPr>
          <w:b/>
          <w:bCs/>
          <w:sz w:val="24"/>
          <w:szCs w:val="24"/>
        </w:rPr>
        <w:tab/>
      </w:r>
      <w:r w:rsidRPr="001D63C5">
        <w:rPr>
          <w:sz w:val="24"/>
          <w:szCs w:val="24"/>
        </w:rPr>
        <w:t>means the evaluation of the likelihood that medicine or therapeutic good was the causative agent of an observed adverse reaction;</w:t>
      </w:r>
    </w:p>
    <w:p w14:paraId="0BD7B3A7" w14:textId="36DB6F47" w:rsidR="00372EBD" w:rsidRPr="001D63C5" w:rsidRDefault="00372EBD" w:rsidP="002A7634">
      <w:pPr>
        <w:spacing w:before="360" w:after="360" w:line="276" w:lineRule="auto"/>
        <w:ind w:left="3420" w:hanging="2250"/>
        <w:jc w:val="both"/>
        <w:rPr>
          <w:sz w:val="24"/>
          <w:szCs w:val="24"/>
        </w:rPr>
      </w:pPr>
      <w:r>
        <w:rPr>
          <w:b/>
          <w:bCs/>
          <w:sz w:val="24"/>
          <w:szCs w:val="24"/>
        </w:rPr>
        <w:lastRenderedPageBreak/>
        <w:t>ESRP</w:t>
      </w:r>
      <w:r>
        <w:rPr>
          <w:b/>
          <w:bCs/>
          <w:sz w:val="24"/>
          <w:szCs w:val="24"/>
        </w:rPr>
        <w:tab/>
      </w:r>
      <w:r w:rsidRPr="00372EBD">
        <w:rPr>
          <w:sz w:val="24"/>
          <w:szCs w:val="24"/>
        </w:rPr>
        <w:t>Expert Safety Review Panel.</w:t>
      </w:r>
    </w:p>
    <w:p w14:paraId="372246C1" w14:textId="376ED8F3" w:rsidR="00506DB0" w:rsidRPr="001D63C5" w:rsidRDefault="002A7634" w:rsidP="00506DB0">
      <w:pPr>
        <w:spacing w:before="360" w:after="360" w:line="276" w:lineRule="auto"/>
        <w:ind w:left="3420" w:hanging="2250"/>
        <w:jc w:val="both"/>
        <w:rPr>
          <w:sz w:val="24"/>
          <w:szCs w:val="24"/>
        </w:rPr>
      </w:pPr>
      <w:r w:rsidRPr="001D63C5">
        <w:rPr>
          <w:b/>
          <w:bCs/>
          <w:sz w:val="24"/>
          <w:szCs w:val="24"/>
        </w:rPr>
        <w:t>HCP:</w:t>
      </w:r>
      <w:r w:rsidRPr="001D63C5">
        <w:rPr>
          <w:sz w:val="24"/>
          <w:szCs w:val="24"/>
        </w:rPr>
        <w:tab/>
      </w:r>
      <w:r w:rsidR="00B928DF" w:rsidRPr="001D63C5">
        <w:rPr>
          <w:sz w:val="24"/>
          <w:szCs w:val="24"/>
        </w:rPr>
        <w:t>"Healthcare professionals”:</w:t>
      </w:r>
      <w:r w:rsidR="00D82043">
        <w:rPr>
          <w:sz w:val="24"/>
          <w:szCs w:val="24"/>
        </w:rPr>
        <w:t xml:space="preserve"> </w:t>
      </w:r>
      <w:r w:rsidRPr="001D63C5">
        <w:rPr>
          <w:sz w:val="24"/>
          <w:szCs w:val="24"/>
        </w:rPr>
        <w:t>means any member of the medical, dental, pharmacy, nursing professions, any allied health professional or any other person who in the course of his professional activities may prescribe, recommend, purchase, supply, sell or administer a therapeutic good including medical technologies as registered or enlisted by the Authority</w:t>
      </w:r>
      <w:r w:rsidR="00506DB0" w:rsidRPr="001D63C5">
        <w:rPr>
          <w:sz w:val="24"/>
          <w:szCs w:val="24"/>
        </w:rPr>
        <w:t>.</w:t>
      </w:r>
    </w:p>
    <w:p w14:paraId="72A825D8" w14:textId="44813B4F" w:rsidR="00506DB0" w:rsidRPr="001D63C5" w:rsidRDefault="00B928DF" w:rsidP="00506DB0">
      <w:pPr>
        <w:spacing w:before="360" w:after="360" w:line="276" w:lineRule="auto"/>
        <w:ind w:left="3420" w:hanging="2250"/>
        <w:jc w:val="both"/>
        <w:rPr>
          <w:sz w:val="24"/>
          <w:szCs w:val="24"/>
        </w:rPr>
      </w:pPr>
      <w:r w:rsidRPr="001D63C5">
        <w:rPr>
          <w:b/>
          <w:bCs/>
          <w:sz w:val="24"/>
          <w:szCs w:val="24"/>
        </w:rPr>
        <w:t>ICSR</w:t>
      </w:r>
      <w:r w:rsidRPr="001D63C5">
        <w:rPr>
          <w:b/>
          <w:bCs/>
          <w:sz w:val="24"/>
          <w:szCs w:val="24"/>
        </w:rPr>
        <w:tab/>
        <w:t>“</w:t>
      </w:r>
      <w:r w:rsidR="00506DB0" w:rsidRPr="001D63C5">
        <w:rPr>
          <w:sz w:val="24"/>
          <w:szCs w:val="24"/>
        </w:rPr>
        <w:t>Individual Case Safety Report</w:t>
      </w:r>
      <w:r w:rsidRPr="001D63C5">
        <w:rPr>
          <w:sz w:val="24"/>
          <w:szCs w:val="24"/>
        </w:rPr>
        <w:t>”</w:t>
      </w:r>
      <w:r w:rsidR="00506DB0" w:rsidRPr="001D63C5">
        <w:rPr>
          <w:sz w:val="24"/>
          <w:szCs w:val="24"/>
        </w:rPr>
        <w:t xml:space="preserve">: </w:t>
      </w:r>
      <w:r w:rsidR="00D82043" w:rsidRPr="001D63C5">
        <w:rPr>
          <w:sz w:val="24"/>
          <w:szCs w:val="24"/>
        </w:rPr>
        <w:t xml:space="preserve">a </w:t>
      </w:r>
      <w:r w:rsidR="00506DB0" w:rsidRPr="001D63C5">
        <w:rPr>
          <w:sz w:val="24"/>
          <w:szCs w:val="24"/>
        </w:rPr>
        <w:t>report describing a suspected adverse drug reaction related to the administration of one or more medicinal products or therapeutic good</w:t>
      </w:r>
      <w:r w:rsidR="00A12786">
        <w:rPr>
          <w:sz w:val="24"/>
          <w:szCs w:val="24"/>
        </w:rPr>
        <w:t>s</w:t>
      </w:r>
      <w:r w:rsidR="00506DB0" w:rsidRPr="001D63C5">
        <w:rPr>
          <w:sz w:val="24"/>
          <w:szCs w:val="24"/>
        </w:rPr>
        <w:t xml:space="preserve"> to an individual patient.</w:t>
      </w:r>
    </w:p>
    <w:p w14:paraId="515F3BA4" w14:textId="630766F7" w:rsidR="00506DB0" w:rsidRPr="001D63C5" w:rsidRDefault="00B928DF" w:rsidP="00506DB0">
      <w:pPr>
        <w:spacing w:before="360" w:after="360" w:line="276" w:lineRule="auto"/>
        <w:ind w:left="3420" w:hanging="2250"/>
        <w:jc w:val="both"/>
        <w:rPr>
          <w:sz w:val="24"/>
          <w:szCs w:val="24"/>
        </w:rPr>
      </w:pPr>
      <w:r w:rsidRPr="001D63C5">
        <w:rPr>
          <w:b/>
          <w:bCs/>
          <w:color w:val="000000"/>
          <w:sz w:val="24"/>
          <w:szCs w:val="24"/>
        </w:rPr>
        <w:t xml:space="preserve">IC </w:t>
      </w:r>
      <w:r w:rsidRPr="001D63C5">
        <w:rPr>
          <w:b/>
          <w:bCs/>
          <w:color w:val="000000"/>
          <w:sz w:val="24"/>
          <w:szCs w:val="24"/>
        </w:rPr>
        <w:tab/>
      </w:r>
      <w:r w:rsidR="00506DB0" w:rsidRPr="001D63C5">
        <w:rPr>
          <w:color w:val="000000"/>
          <w:sz w:val="24"/>
          <w:szCs w:val="24"/>
        </w:rPr>
        <w:t>The Information component (IC) measures the disproportionality in the reporting of a drug-ADR pair in an ICSR database, relative to the reporting expected based on the overall reporting of the drug and the ADR. Positive IC values indicate higher reporting than expected. The IC has also been implemented on electronic health records, to detect interesting temporal relationships between drug prescriptions and medical events.</w:t>
      </w:r>
    </w:p>
    <w:p w14:paraId="768D850E" w14:textId="77777777" w:rsidR="00330C2C" w:rsidRPr="001D63C5" w:rsidRDefault="002A7634" w:rsidP="00330C2C">
      <w:pPr>
        <w:spacing w:before="360" w:after="360" w:line="276" w:lineRule="auto"/>
        <w:ind w:left="3420" w:hanging="2250"/>
        <w:jc w:val="both"/>
        <w:rPr>
          <w:color w:val="000000" w:themeColor="text1"/>
          <w:sz w:val="24"/>
          <w:szCs w:val="24"/>
          <w:shd w:val="clear" w:color="auto" w:fill="FFFFFF"/>
        </w:rPr>
      </w:pPr>
      <w:r w:rsidRPr="001D63C5">
        <w:rPr>
          <w:b/>
          <w:bCs/>
          <w:sz w:val="24"/>
          <w:szCs w:val="24"/>
        </w:rPr>
        <w:t>Medication Error:</w:t>
      </w:r>
      <w:r w:rsidRPr="001D63C5">
        <w:rPr>
          <w:sz w:val="24"/>
          <w:szCs w:val="24"/>
        </w:rPr>
        <w:t xml:space="preserve"> </w:t>
      </w:r>
      <w:r w:rsidRPr="001D63C5">
        <w:rPr>
          <w:sz w:val="24"/>
          <w:szCs w:val="24"/>
        </w:rPr>
        <w:tab/>
      </w:r>
      <w:r w:rsidRPr="001D63C5">
        <w:rPr>
          <w:color w:val="000000" w:themeColor="text1"/>
          <w:sz w:val="24"/>
          <w:szCs w:val="24"/>
        </w:rPr>
        <w:t xml:space="preserve">Means </w:t>
      </w:r>
      <w:r w:rsidRPr="001D63C5">
        <w:rPr>
          <w:color w:val="000000" w:themeColor="text1"/>
          <w:sz w:val="24"/>
          <w:szCs w:val="24"/>
          <w:shd w:val="clear" w:color="auto" w:fill="FFFFFF"/>
        </w:rPr>
        <w:t>any preventable event that may cause or lead to inappropriate </w:t>
      </w:r>
      <w:r w:rsidRPr="001D63C5">
        <w:rPr>
          <w:bCs/>
          <w:color w:val="000000" w:themeColor="text1"/>
          <w:sz w:val="24"/>
          <w:szCs w:val="24"/>
          <w:shd w:val="clear" w:color="auto" w:fill="FFFFFF"/>
        </w:rPr>
        <w:t>medication</w:t>
      </w:r>
      <w:r w:rsidRPr="001D63C5">
        <w:rPr>
          <w:color w:val="000000" w:themeColor="text1"/>
          <w:sz w:val="24"/>
          <w:szCs w:val="24"/>
          <w:shd w:val="clear" w:color="auto" w:fill="FFFFFF"/>
        </w:rPr>
        <w:t> use or patient harm while the </w:t>
      </w:r>
      <w:r w:rsidRPr="001D63C5">
        <w:rPr>
          <w:bCs/>
          <w:color w:val="000000" w:themeColor="text1"/>
          <w:sz w:val="24"/>
          <w:szCs w:val="24"/>
          <w:shd w:val="clear" w:color="auto" w:fill="FFFFFF"/>
        </w:rPr>
        <w:t>medication</w:t>
      </w:r>
      <w:r w:rsidRPr="001D63C5">
        <w:rPr>
          <w:color w:val="000000" w:themeColor="text1"/>
          <w:sz w:val="24"/>
          <w:szCs w:val="24"/>
          <w:shd w:val="clear" w:color="auto" w:fill="FFFFFF"/>
        </w:rPr>
        <w:t> is in the control of the </w:t>
      </w:r>
      <w:r w:rsidRPr="001D63C5">
        <w:rPr>
          <w:bCs/>
          <w:color w:val="000000" w:themeColor="text1"/>
          <w:sz w:val="24"/>
          <w:szCs w:val="24"/>
          <w:shd w:val="clear" w:color="auto" w:fill="FFFFFF"/>
        </w:rPr>
        <w:t>health</w:t>
      </w:r>
      <w:r w:rsidRPr="001D63C5">
        <w:rPr>
          <w:color w:val="000000" w:themeColor="text1"/>
          <w:sz w:val="24"/>
          <w:szCs w:val="24"/>
          <w:shd w:val="clear" w:color="auto" w:fill="FFFFFF"/>
        </w:rPr>
        <w:t>care professional, patient or consumer</w:t>
      </w:r>
    </w:p>
    <w:p w14:paraId="5E959A17" w14:textId="49A86A74" w:rsidR="00330C2C" w:rsidRPr="001D63C5" w:rsidRDefault="00330C2C" w:rsidP="00606A53">
      <w:pPr>
        <w:spacing w:before="360" w:after="360" w:line="276" w:lineRule="auto"/>
        <w:ind w:left="3420" w:hanging="2250"/>
        <w:jc w:val="both"/>
        <w:rPr>
          <w:color w:val="000000" w:themeColor="text1"/>
          <w:sz w:val="24"/>
          <w:szCs w:val="24"/>
          <w:shd w:val="clear" w:color="auto" w:fill="FFFFFF"/>
        </w:rPr>
      </w:pPr>
      <w:r w:rsidRPr="001D63C5">
        <w:rPr>
          <w:b/>
          <w:sz w:val="24"/>
          <w:szCs w:val="24"/>
        </w:rPr>
        <w:t xml:space="preserve">Misuse </w:t>
      </w:r>
      <w:proofErr w:type="gramStart"/>
      <w:r w:rsidRPr="001D63C5">
        <w:rPr>
          <w:b/>
          <w:sz w:val="24"/>
          <w:szCs w:val="24"/>
        </w:rPr>
        <w:t>Of</w:t>
      </w:r>
      <w:proofErr w:type="gramEnd"/>
      <w:r w:rsidRPr="001D63C5">
        <w:rPr>
          <w:b/>
          <w:sz w:val="24"/>
          <w:szCs w:val="24"/>
        </w:rPr>
        <w:t xml:space="preserve"> A Therapeutic Good:</w:t>
      </w:r>
      <w:r w:rsidRPr="001D63C5">
        <w:rPr>
          <w:bCs/>
          <w:sz w:val="24"/>
          <w:szCs w:val="24"/>
        </w:rPr>
        <w:t xml:space="preserve"> means </w:t>
      </w:r>
      <w:r w:rsidRPr="001D63C5">
        <w:rPr>
          <w:sz w:val="24"/>
          <w:szCs w:val="24"/>
        </w:rPr>
        <w:t>situations where the therapeutic good or drug is intentionally and inappropriately used not in accordance with the registered therapeutic good information;</w:t>
      </w:r>
    </w:p>
    <w:p w14:paraId="427AA2D2" w14:textId="77777777" w:rsidR="002A7634" w:rsidRPr="001D63C5" w:rsidRDefault="002A7634" w:rsidP="002A7634">
      <w:pPr>
        <w:spacing w:before="360" w:after="360" w:line="276" w:lineRule="auto"/>
        <w:ind w:left="3420" w:hanging="2250"/>
        <w:jc w:val="both"/>
        <w:rPr>
          <w:b/>
          <w:bCs/>
          <w:color w:val="000000" w:themeColor="text1"/>
          <w:sz w:val="24"/>
          <w:szCs w:val="24"/>
        </w:rPr>
      </w:pPr>
      <w:r w:rsidRPr="001D63C5">
        <w:rPr>
          <w:b/>
          <w:bCs/>
          <w:color w:val="000000" w:themeColor="text1"/>
          <w:sz w:val="24"/>
          <w:szCs w:val="24"/>
        </w:rPr>
        <w:t>Near Miss:</w:t>
      </w:r>
      <w:r w:rsidRPr="001D63C5">
        <w:rPr>
          <w:b/>
          <w:bCs/>
          <w:color w:val="000000" w:themeColor="text1"/>
          <w:sz w:val="24"/>
          <w:szCs w:val="24"/>
        </w:rPr>
        <w:tab/>
      </w:r>
      <w:r w:rsidRPr="001D63C5">
        <w:rPr>
          <w:color w:val="000000" w:themeColor="text1"/>
          <w:sz w:val="24"/>
          <w:szCs w:val="24"/>
          <w:shd w:val="clear" w:color="auto" w:fill="FFFFFF"/>
        </w:rPr>
        <w:t>WHO defines a near miss as “an error that has the potential to cause an adverse event (patient harm) but fails to do so because of chance or because it is intercepted” (“An error caught before reaching the patient”)</w:t>
      </w:r>
      <w:r w:rsidRPr="001D63C5">
        <w:rPr>
          <w:rFonts w:ascii="Cambria" w:hAnsi="Cambria"/>
          <w:color w:val="000000" w:themeColor="text1"/>
          <w:sz w:val="24"/>
          <w:szCs w:val="24"/>
          <w:shd w:val="clear" w:color="auto" w:fill="FFFFFF"/>
        </w:rPr>
        <w:t> </w:t>
      </w:r>
    </w:p>
    <w:p w14:paraId="75C52AC7" w14:textId="47504D3F" w:rsidR="002A7634" w:rsidRPr="001D63C5" w:rsidRDefault="002A7634" w:rsidP="002A7634">
      <w:pPr>
        <w:spacing w:before="360" w:after="360" w:line="276" w:lineRule="auto"/>
        <w:ind w:left="3420" w:hanging="2250"/>
        <w:jc w:val="both"/>
        <w:rPr>
          <w:i/>
          <w:iCs/>
          <w:color w:val="000000" w:themeColor="text1"/>
          <w:sz w:val="24"/>
          <w:szCs w:val="24"/>
        </w:rPr>
      </w:pPr>
      <w:r w:rsidRPr="001D63C5">
        <w:rPr>
          <w:b/>
          <w:bCs/>
          <w:color w:val="000000" w:themeColor="text1"/>
          <w:sz w:val="24"/>
          <w:szCs w:val="24"/>
        </w:rPr>
        <w:t>NPC:</w:t>
      </w:r>
      <w:r w:rsidRPr="001D63C5">
        <w:rPr>
          <w:b/>
          <w:bCs/>
          <w:color w:val="000000" w:themeColor="text1"/>
          <w:sz w:val="24"/>
          <w:szCs w:val="24"/>
        </w:rPr>
        <w:tab/>
      </w:r>
      <w:r w:rsidRPr="001D63C5">
        <w:rPr>
          <w:color w:val="000000" w:themeColor="text1"/>
          <w:sz w:val="24"/>
          <w:szCs w:val="24"/>
        </w:rPr>
        <w:t>National Pharmacovigilance Centre working under DRAP</w:t>
      </w:r>
      <w:r w:rsidR="00797A3C">
        <w:rPr>
          <w:color w:val="000000" w:themeColor="text1"/>
          <w:sz w:val="24"/>
          <w:szCs w:val="24"/>
        </w:rPr>
        <w:t xml:space="preserve"> established under Rule 3 of Pharmacovigilance Rules, 2022</w:t>
      </w:r>
      <w:r w:rsidRPr="001D63C5">
        <w:rPr>
          <w:color w:val="000000" w:themeColor="text1"/>
          <w:sz w:val="24"/>
          <w:szCs w:val="24"/>
        </w:rPr>
        <w:t>.</w:t>
      </w:r>
    </w:p>
    <w:p w14:paraId="280701FD" w14:textId="0C9EE1FC" w:rsidR="002A7634" w:rsidRPr="001D63C5" w:rsidRDefault="002A7634" w:rsidP="002A7634">
      <w:pPr>
        <w:spacing w:before="360" w:after="360" w:line="276" w:lineRule="auto"/>
        <w:ind w:left="3420" w:hanging="2250"/>
        <w:jc w:val="both"/>
        <w:rPr>
          <w:color w:val="000000" w:themeColor="text1"/>
          <w:sz w:val="24"/>
          <w:szCs w:val="24"/>
        </w:rPr>
      </w:pPr>
      <w:r w:rsidRPr="001D63C5">
        <w:rPr>
          <w:b/>
          <w:bCs/>
          <w:color w:val="000000" w:themeColor="text1"/>
          <w:sz w:val="24"/>
          <w:szCs w:val="24"/>
        </w:rPr>
        <w:lastRenderedPageBreak/>
        <w:t>Occupational Exposure</w:t>
      </w:r>
      <w:r w:rsidRPr="001D63C5">
        <w:rPr>
          <w:i/>
          <w:iCs/>
          <w:color w:val="000000" w:themeColor="text1"/>
          <w:sz w:val="24"/>
          <w:szCs w:val="24"/>
        </w:rPr>
        <w:t xml:space="preserve">: </w:t>
      </w:r>
      <w:r w:rsidRPr="001D63C5">
        <w:rPr>
          <w:color w:val="000000" w:themeColor="text1"/>
          <w:sz w:val="24"/>
          <w:szCs w:val="24"/>
        </w:rPr>
        <w:t>exposure to a therapeutic good as a result of one’s professional or non-professional occupation at the workplace. It does not include the exposure to one of the ingredients during the manufacturing process before the release as a finished product at a pharma company.</w:t>
      </w:r>
    </w:p>
    <w:p w14:paraId="2FE41DC1" w14:textId="48234871" w:rsidR="002A7634" w:rsidRPr="001D63C5" w:rsidRDefault="002A7634" w:rsidP="002A7634">
      <w:pPr>
        <w:spacing w:before="360" w:after="360" w:line="276" w:lineRule="auto"/>
        <w:ind w:left="3420" w:hanging="2250"/>
        <w:jc w:val="both"/>
        <w:rPr>
          <w:sz w:val="24"/>
          <w:szCs w:val="24"/>
        </w:rPr>
      </w:pPr>
      <w:r w:rsidRPr="001D63C5">
        <w:rPr>
          <w:b/>
          <w:bCs/>
          <w:sz w:val="24"/>
          <w:szCs w:val="24"/>
        </w:rPr>
        <w:t>Off</w:t>
      </w:r>
      <w:r w:rsidR="00372EBD">
        <w:rPr>
          <w:b/>
          <w:bCs/>
          <w:sz w:val="24"/>
          <w:szCs w:val="24"/>
        </w:rPr>
        <w:t>-</w:t>
      </w:r>
      <w:r w:rsidRPr="001D63C5">
        <w:rPr>
          <w:b/>
          <w:bCs/>
          <w:sz w:val="24"/>
          <w:szCs w:val="24"/>
        </w:rPr>
        <w:t>Label Use:</w:t>
      </w:r>
      <w:r w:rsidRPr="001D63C5">
        <w:rPr>
          <w:sz w:val="24"/>
          <w:szCs w:val="24"/>
        </w:rPr>
        <w:t xml:space="preserve"> </w:t>
      </w:r>
      <w:r w:rsidRPr="001D63C5">
        <w:rPr>
          <w:sz w:val="24"/>
          <w:szCs w:val="24"/>
        </w:rPr>
        <w:tab/>
        <w:t>Refers to the use of an approved medicine under the direction or supervision of a healthcare professional for an unapproved indication, age group, dosage, route or form of administration.</w:t>
      </w:r>
    </w:p>
    <w:p w14:paraId="18934249" w14:textId="77777777" w:rsidR="00AE6917" w:rsidRDefault="002A7634" w:rsidP="00AE6917">
      <w:pPr>
        <w:spacing w:before="360" w:after="360" w:line="276" w:lineRule="auto"/>
        <w:ind w:left="3420" w:hanging="2250"/>
        <w:jc w:val="both"/>
        <w:rPr>
          <w:sz w:val="24"/>
          <w:szCs w:val="24"/>
        </w:rPr>
      </w:pPr>
      <w:r w:rsidRPr="001D63C5">
        <w:rPr>
          <w:b/>
          <w:bCs/>
          <w:sz w:val="24"/>
          <w:szCs w:val="24"/>
        </w:rPr>
        <w:t>Overdose of Therapeutic good:</w:t>
      </w:r>
      <w:r w:rsidRPr="001D63C5">
        <w:rPr>
          <w:sz w:val="24"/>
          <w:szCs w:val="24"/>
        </w:rPr>
        <w:t xml:space="preserve"> </w:t>
      </w:r>
      <w:r w:rsidRPr="001D63C5">
        <w:rPr>
          <w:bCs/>
          <w:sz w:val="24"/>
          <w:szCs w:val="24"/>
        </w:rPr>
        <w:t xml:space="preserve">means </w:t>
      </w:r>
      <w:r w:rsidRPr="001D63C5">
        <w:rPr>
          <w:sz w:val="24"/>
          <w:szCs w:val="24"/>
        </w:rPr>
        <w:t>administration of a quantity of a therapeutic good given per administration or cumulatively which is above the maximum recommended dose according to the registered therapeutic good information</w:t>
      </w:r>
    </w:p>
    <w:p w14:paraId="4137FFDE" w14:textId="1B48D4D5" w:rsidR="00AE6917" w:rsidRDefault="00AE6917" w:rsidP="0035064F">
      <w:pPr>
        <w:spacing w:before="360" w:after="360" w:line="276" w:lineRule="auto"/>
        <w:ind w:left="3420" w:hanging="2250"/>
        <w:jc w:val="both"/>
        <w:rPr>
          <w:sz w:val="24"/>
          <w:szCs w:val="24"/>
        </w:rPr>
      </w:pPr>
      <w:r w:rsidRPr="00AE6917">
        <w:rPr>
          <w:b/>
          <w:bCs/>
          <w:sz w:val="24"/>
          <w:szCs w:val="24"/>
        </w:rPr>
        <w:t>Passive Surveillance:</w:t>
      </w:r>
      <w:r w:rsidRPr="00AE6917">
        <w:rPr>
          <w:sz w:val="24"/>
          <w:szCs w:val="24"/>
        </w:rPr>
        <w:tab/>
        <w:t xml:space="preserve"> </w:t>
      </w:r>
      <w:r w:rsidR="00F00117" w:rsidRPr="00AE6917">
        <w:rPr>
          <w:sz w:val="24"/>
          <w:szCs w:val="24"/>
        </w:rPr>
        <w:t xml:space="preserve">A </w:t>
      </w:r>
      <w:r w:rsidRPr="00AE6917">
        <w:rPr>
          <w:sz w:val="24"/>
          <w:szCs w:val="24"/>
        </w:rPr>
        <w:t>process where healthcare professionals or patients send spontaneous reports describing an adverse drug reaction or event after one or more therapeutic goods are administered to the registration holders or regulatory authority;</w:t>
      </w:r>
    </w:p>
    <w:p w14:paraId="5419A148" w14:textId="615129FD" w:rsidR="00372EBD" w:rsidRDefault="00372EBD" w:rsidP="0035064F">
      <w:pPr>
        <w:spacing w:before="360" w:after="360" w:line="276" w:lineRule="auto"/>
        <w:ind w:left="3420" w:hanging="2250"/>
        <w:jc w:val="both"/>
        <w:rPr>
          <w:sz w:val="24"/>
          <w:szCs w:val="24"/>
        </w:rPr>
      </w:pPr>
      <w:r>
        <w:rPr>
          <w:b/>
          <w:bCs/>
          <w:sz w:val="24"/>
          <w:szCs w:val="24"/>
        </w:rPr>
        <w:t>PASS:</w:t>
      </w:r>
      <w:r>
        <w:rPr>
          <w:sz w:val="24"/>
          <w:szCs w:val="24"/>
        </w:rPr>
        <w:tab/>
        <w:t>Post-Authorization Safety Studies.</w:t>
      </w:r>
    </w:p>
    <w:p w14:paraId="01C4BA5D" w14:textId="31F9D0D1" w:rsidR="00372EBD" w:rsidRPr="001D63C5" w:rsidRDefault="00372EBD" w:rsidP="0035064F">
      <w:pPr>
        <w:spacing w:before="360" w:after="360" w:line="276" w:lineRule="auto"/>
        <w:ind w:left="3420" w:hanging="2250"/>
        <w:jc w:val="both"/>
        <w:rPr>
          <w:sz w:val="24"/>
          <w:szCs w:val="24"/>
        </w:rPr>
      </w:pPr>
      <w:r>
        <w:rPr>
          <w:b/>
          <w:bCs/>
          <w:sz w:val="24"/>
          <w:szCs w:val="24"/>
        </w:rPr>
        <w:t>PAES:</w:t>
      </w:r>
      <w:r>
        <w:rPr>
          <w:sz w:val="24"/>
          <w:szCs w:val="24"/>
        </w:rPr>
        <w:tab/>
        <w:t>Post Authorization Efficacy Studies</w:t>
      </w:r>
      <w:r w:rsidR="00CD5BE3">
        <w:rPr>
          <w:sz w:val="24"/>
          <w:szCs w:val="24"/>
        </w:rPr>
        <w:t>.</w:t>
      </w:r>
    </w:p>
    <w:p w14:paraId="505F77FF" w14:textId="55B571FE" w:rsidR="002A7634" w:rsidRPr="001D63C5" w:rsidRDefault="002A7634" w:rsidP="002A7634">
      <w:pPr>
        <w:spacing w:before="360" w:after="360" w:line="276" w:lineRule="auto"/>
        <w:ind w:left="3420" w:hanging="2250"/>
        <w:jc w:val="both"/>
        <w:rPr>
          <w:rFonts w:asciiTheme="majorBidi" w:hAnsiTheme="majorBidi" w:cstheme="majorBidi"/>
          <w:bCs/>
          <w:color w:val="000000" w:themeColor="text1"/>
          <w:sz w:val="24"/>
          <w:szCs w:val="24"/>
        </w:rPr>
      </w:pPr>
      <w:r w:rsidRPr="001D63C5">
        <w:rPr>
          <w:b/>
          <w:bCs/>
          <w:sz w:val="24"/>
          <w:szCs w:val="24"/>
        </w:rPr>
        <w:t>PV:</w:t>
      </w:r>
      <w:r w:rsidRPr="001D63C5">
        <w:rPr>
          <w:sz w:val="24"/>
          <w:szCs w:val="24"/>
        </w:rPr>
        <w:tab/>
      </w:r>
      <w:r w:rsidRPr="008070E9">
        <w:rPr>
          <w:rFonts w:asciiTheme="majorBidi" w:hAnsiTheme="majorBidi" w:cstheme="majorBidi"/>
          <w:color w:val="000000" w:themeColor="text1"/>
          <w:sz w:val="24"/>
          <w:szCs w:val="24"/>
        </w:rPr>
        <w:t>“Pharmacovigilance”</w:t>
      </w:r>
      <w:r w:rsidRPr="001D63C5">
        <w:rPr>
          <w:rFonts w:asciiTheme="majorBidi" w:hAnsiTheme="majorBidi" w:cstheme="majorBidi"/>
          <w:bCs/>
          <w:color w:val="000000" w:themeColor="text1"/>
          <w:sz w:val="24"/>
          <w:szCs w:val="24"/>
        </w:rPr>
        <w:t xml:space="preserve"> means the science and activities relating to the detection, assessment, understanding and prevention of adverse effects or any other therapeutic good</w:t>
      </w:r>
      <w:r w:rsidR="00A12786">
        <w:rPr>
          <w:rFonts w:asciiTheme="majorBidi" w:hAnsiTheme="majorBidi" w:cstheme="majorBidi"/>
          <w:bCs/>
          <w:color w:val="000000" w:themeColor="text1"/>
          <w:sz w:val="24"/>
          <w:szCs w:val="24"/>
        </w:rPr>
        <w:t>-</w:t>
      </w:r>
      <w:r w:rsidRPr="001D63C5">
        <w:rPr>
          <w:rFonts w:asciiTheme="majorBidi" w:hAnsiTheme="majorBidi" w:cstheme="majorBidi"/>
          <w:bCs/>
          <w:color w:val="000000" w:themeColor="text1"/>
          <w:sz w:val="24"/>
          <w:szCs w:val="24"/>
        </w:rPr>
        <w:t>related problems.</w:t>
      </w:r>
    </w:p>
    <w:p w14:paraId="1978F50E" w14:textId="3F68F255" w:rsidR="00F35708" w:rsidRDefault="00F35708" w:rsidP="00B41E5A">
      <w:pPr>
        <w:spacing w:before="360" w:after="360" w:line="276" w:lineRule="auto"/>
        <w:ind w:left="3420" w:hanging="2250"/>
        <w:jc w:val="both"/>
        <w:rPr>
          <w:sz w:val="24"/>
          <w:szCs w:val="24"/>
        </w:rPr>
      </w:pPr>
      <w:r w:rsidRPr="001D63C5">
        <w:rPr>
          <w:b/>
          <w:bCs/>
          <w:sz w:val="24"/>
          <w:szCs w:val="24"/>
        </w:rPr>
        <w:t>PRAEC:</w:t>
      </w:r>
      <w:r w:rsidRPr="001D63C5">
        <w:rPr>
          <w:sz w:val="24"/>
          <w:szCs w:val="24"/>
        </w:rPr>
        <w:tab/>
      </w:r>
      <w:r w:rsidRPr="00E822B3">
        <w:rPr>
          <w:sz w:val="24"/>
          <w:szCs w:val="24"/>
        </w:rPr>
        <w:t>Pharmacovigilance Risk Assessment Expert Committee constituted under rule 9 of the Pharmacovigilance Rules, 2022</w:t>
      </w:r>
      <w:r w:rsidR="00E822B3" w:rsidRPr="00E822B3">
        <w:rPr>
          <w:sz w:val="24"/>
          <w:szCs w:val="24"/>
        </w:rPr>
        <w:t xml:space="preserve"> </w:t>
      </w:r>
      <w:r w:rsidR="00E822B3" w:rsidRPr="00E822B3">
        <w:rPr>
          <w:iCs/>
          <w:sz w:val="24"/>
          <w:szCs w:val="24"/>
        </w:rPr>
        <w:t>for risk management associated with the use of therapeutic goods, i.e. signal detection, causality assessment, risk minimization, communication</w:t>
      </w:r>
      <w:r w:rsidR="00A12786">
        <w:rPr>
          <w:iCs/>
          <w:sz w:val="24"/>
          <w:szCs w:val="24"/>
        </w:rPr>
        <w:t>-</w:t>
      </w:r>
      <w:r w:rsidR="00E822B3" w:rsidRPr="00E822B3">
        <w:rPr>
          <w:iCs/>
          <w:sz w:val="24"/>
          <w:szCs w:val="24"/>
        </w:rPr>
        <w:t xml:space="preserve">related to </w:t>
      </w:r>
      <w:r w:rsidR="00A12786">
        <w:rPr>
          <w:iCs/>
          <w:sz w:val="24"/>
          <w:szCs w:val="24"/>
        </w:rPr>
        <w:t xml:space="preserve">the </w:t>
      </w:r>
      <w:r w:rsidR="00E822B3" w:rsidRPr="00E822B3">
        <w:rPr>
          <w:iCs/>
          <w:sz w:val="24"/>
          <w:szCs w:val="24"/>
        </w:rPr>
        <w:t>risk of adverse events and evaluation of periodic reports etc.</w:t>
      </w:r>
    </w:p>
    <w:p w14:paraId="373B2869" w14:textId="3825799A" w:rsidR="003B2955" w:rsidRPr="001D63C5" w:rsidRDefault="003B2955" w:rsidP="003B2955">
      <w:pPr>
        <w:spacing w:before="360" w:after="360" w:line="276" w:lineRule="auto"/>
        <w:ind w:left="3420" w:hanging="2250"/>
        <w:jc w:val="both"/>
        <w:rPr>
          <w:sz w:val="24"/>
          <w:szCs w:val="24"/>
        </w:rPr>
      </w:pPr>
      <w:r w:rsidRPr="001D63C5">
        <w:rPr>
          <w:b/>
          <w:bCs/>
          <w:sz w:val="24"/>
          <w:szCs w:val="24"/>
        </w:rPr>
        <w:t>PO:</w:t>
      </w:r>
      <w:r w:rsidRPr="001D63C5">
        <w:rPr>
          <w:b/>
          <w:bCs/>
          <w:sz w:val="24"/>
          <w:szCs w:val="24"/>
        </w:rPr>
        <w:tab/>
      </w:r>
      <w:r w:rsidRPr="001D63C5">
        <w:rPr>
          <w:sz w:val="24"/>
          <w:szCs w:val="24"/>
        </w:rPr>
        <w:t xml:space="preserve">“Pharmacovigilance Officer”: means an officer notified under Rule. 6 </w:t>
      </w:r>
      <w:r w:rsidR="00C741D8">
        <w:rPr>
          <w:sz w:val="24"/>
          <w:szCs w:val="24"/>
        </w:rPr>
        <w:t xml:space="preserve">of the Pharmacovigilance Rules, 2022 </w:t>
      </w:r>
      <w:r w:rsidRPr="001D63C5">
        <w:rPr>
          <w:sz w:val="24"/>
          <w:szCs w:val="24"/>
        </w:rPr>
        <w:t xml:space="preserve">for the execution of pharmacovigilance activities at different levels such </w:t>
      </w:r>
      <w:r w:rsidR="00A12786">
        <w:rPr>
          <w:sz w:val="24"/>
          <w:szCs w:val="24"/>
        </w:rPr>
        <w:t xml:space="preserve">as </w:t>
      </w:r>
      <w:r w:rsidRPr="001D63C5">
        <w:rPr>
          <w:sz w:val="24"/>
          <w:szCs w:val="24"/>
        </w:rPr>
        <w:t xml:space="preserve">NPC, PPC, PHPs and </w:t>
      </w:r>
      <w:r w:rsidR="00072493" w:rsidRPr="001D63C5">
        <w:rPr>
          <w:sz w:val="24"/>
          <w:szCs w:val="24"/>
        </w:rPr>
        <w:t>hospitals</w:t>
      </w:r>
      <w:r w:rsidRPr="001D63C5">
        <w:rPr>
          <w:sz w:val="24"/>
          <w:szCs w:val="24"/>
        </w:rPr>
        <w:t>.</w:t>
      </w:r>
    </w:p>
    <w:p w14:paraId="4D823058" w14:textId="69AD0B44" w:rsidR="00606A53" w:rsidRPr="001D63C5" w:rsidRDefault="00B41E5A" w:rsidP="00606A53">
      <w:pPr>
        <w:spacing w:before="360" w:after="360" w:line="276" w:lineRule="auto"/>
        <w:ind w:left="3420" w:hanging="2250"/>
        <w:jc w:val="both"/>
        <w:rPr>
          <w:sz w:val="24"/>
          <w:szCs w:val="24"/>
        </w:rPr>
      </w:pPr>
      <w:r w:rsidRPr="001D63C5">
        <w:rPr>
          <w:b/>
          <w:bCs/>
          <w:sz w:val="24"/>
          <w:szCs w:val="24"/>
        </w:rPr>
        <w:lastRenderedPageBreak/>
        <w:t xml:space="preserve">PPC: </w:t>
      </w:r>
      <w:r w:rsidRPr="001D63C5">
        <w:rPr>
          <w:b/>
          <w:bCs/>
          <w:sz w:val="24"/>
          <w:szCs w:val="24"/>
        </w:rPr>
        <w:tab/>
      </w:r>
      <w:r w:rsidR="00606A53" w:rsidRPr="001D63C5">
        <w:rPr>
          <w:sz w:val="24"/>
          <w:szCs w:val="24"/>
        </w:rPr>
        <w:t>“Provincial pharmacovigilance centre”</w:t>
      </w:r>
      <w:r w:rsidRPr="001D63C5">
        <w:rPr>
          <w:sz w:val="24"/>
          <w:szCs w:val="24"/>
        </w:rPr>
        <w:t>:</w:t>
      </w:r>
      <w:r w:rsidRPr="001D63C5">
        <w:rPr>
          <w:b/>
          <w:bCs/>
          <w:sz w:val="24"/>
          <w:szCs w:val="24"/>
        </w:rPr>
        <w:t xml:space="preserve"> </w:t>
      </w:r>
      <w:r w:rsidR="00606A53" w:rsidRPr="001D63C5">
        <w:rPr>
          <w:sz w:val="24"/>
          <w:szCs w:val="24"/>
        </w:rPr>
        <w:t>means the centre established by each provincial government and administrative territory for the execution of pharmacovigilance activities</w:t>
      </w:r>
      <w:r w:rsidR="009135F2">
        <w:rPr>
          <w:sz w:val="24"/>
          <w:szCs w:val="24"/>
        </w:rPr>
        <w:t xml:space="preserve"> as per Rule 5 of the Pharmacovigilance Rules, 2022</w:t>
      </w:r>
      <w:r w:rsidR="00606A53" w:rsidRPr="001D63C5">
        <w:rPr>
          <w:sz w:val="24"/>
          <w:szCs w:val="24"/>
        </w:rPr>
        <w:t>;</w:t>
      </w:r>
    </w:p>
    <w:p w14:paraId="2D70456F" w14:textId="10B6D0CE" w:rsidR="00606A53" w:rsidRPr="001D63C5" w:rsidRDefault="00513FD2" w:rsidP="00C51F8D">
      <w:pPr>
        <w:spacing w:before="360" w:after="360" w:line="276" w:lineRule="auto"/>
        <w:ind w:left="3420" w:hanging="2250"/>
        <w:jc w:val="both"/>
        <w:rPr>
          <w:sz w:val="24"/>
          <w:szCs w:val="24"/>
        </w:rPr>
      </w:pPr>
      <w:r w:rsidRPr="001D63C5">
        <w:rPr>
          <w:b/>
          <w:bCs/>
          <w:sz w:val="24"/>
          <w:szCs w:val="24"/>
        </w:rPr>
        <w:t>PHPs:</w:t>
      </w:r>
      <w:r w:rsidRPr="001D63C5">
        <w:rPr>
          <w:b/>
          <w:bCs/>
          <w:sz w:val="24"/>
          <w:szCs w:val="24"/>
        </w:rPr>
        <w:tab/>
      </w:r>
      <w:r w:rsidR="008D1D8F" w:rsidRPr="001D63C5">
        <w:rPr>
          <w:b/>
          <w:bCs/>
          <w:sz w:val="24"/>
          <w:szCs w:val="24"/>
        </w:rPr>
        <w:t>“</w:t>
      </w:r>
      <w:r w:rsidRPr="001D63C5">
        <w:rPr>
          <w:sz w:val="24"/>
          <w:szCs w:val="24"/>
        </w:rPr>
        <w:t>Public Health Programmes</w:t>
      </w:r>
      <w:r w:rsidR="008D1D8F" w:rsidRPr="001D63C5">
        <w:rPr>
          <w:sz w:val="24"/>
          <w:szCs w:val="24"/>
        </w:rPr>
        <w:t>”</w:t>
      </w:r>
      <w:r w:rsidR="00606A53" w:rsidRPr="001D63C5">
        <w:rPr>
          <w:sz w:val="24"/>
          <w:szCs w:val="24"/>
        </w:rPr>
        <w:t xml:space="preserve">: are the health programmes at the level of National, Provincial or Administrative Territory that are designed for </w:t>
      </w:r>
      <w:r w:rsidR="00A12786">
        <w:rPr>
          <w:sz w:val="24"/>
          <w:szCs w:val="24"/>
        </w:rPr>
        <w:t xml:space="preserve">the </w:t>
      </w:r>
      <w:r w:rsidR="00606A53" w:rsidRPr="001D63C5">
        <w:rPr>
          <w:sz w:val="24"/>
          <w:szCs w:val="24"/>
        </w:rPr>
        <w:t>prevention and eradication of disease and prolonging health through organized efforts of the society</w:t>
      </w:r>
      <w:r w:rsidR="00C741D8">
        <w:rPr>
          <w:sz w:val="24"/>
          <w:szCs w:val="24"/>
        </w:rPr>
        <w:t xml:space="preserve">. They perform pharmacovigilance </w:t>
      </w:r>
      <w:proofErr w:type="spellStart"/>
      <w:r w:rsidR="00C741D8">
        <w:rPr>
          <w:sz w:val="24"/>
          <w:szCs w:val="24"/>
        </w:rPr>
        <w:t>activties</w:t>
      </w:r>
      <w:proofErr w:type="spellEnd"/>
      <w:r w:rsidR="00C741D8">
        <w:rPr>
          <w:sz w:val="24"/>
          <w:szCs w:val="24"/>
        </w:rPr>
        <w:t xml:space="preserve"> as per Rule 7 of the Pharmacovigilance Rules, 2022</w:t>
      </w:r>
      <w:r w:rsidR="00606A53" w:rsidRPr="001D63C5">
        <w:rPr>
          <w:iCs/>
          <w:sz w:val="24"/>
          <w:szCs w:val="24"/>
        </w:rPr>
        <w:t>;</w:t>
      </w:r>
    </w:p>
    <w:p w14:paraId="3E363379" w14:textId="77777777" w:rsidR="00C51F8D" w:rsidRPr="001D63C5" w:rsidRDefault="002A7634" w:rsidP="00C51F8D">
      <w:pPr>
        <w:spacing w:before="360" w:after="360" w:line="276" w:lineRule="auto"/>
        <w:ind w:left="3420" w:hanging="2250"/>
        <w:jc w:val="both"/>
        <w:rPr>
          <w:sz w:val="24"/>
          <w:szCs w:val="24"/>
        </w:rPr>
      </w:pPr>
      <w:r w:rsidRPr="001D63C5">
        <w:rPr>
          <w:b/>
          <w:bCs/>
          <w:sz w:val="24"/>
          <w:szCs w:val="24"/>
        </w:rPr>
        <w:t>Serious ADRs or AEs:</w:t>
      </w:r>
      <w:r w:rsidRPr="001D63C5">
        <w:rPr>
          <w:sz w:val="24"/>
          <w:szCs w:val="24"/>
        </w:rPr>
        <w:t xml:space="preserve"> means an untoward medical occurrence that at any dose results in patient death, is life-threatening, requires inpatient hospitalization or results in prolongation of existing hospitalization, results in persistent or significant disability or incapacity, is a congenital anomaly or birth defect or is judged to be a medically important event or reaction;</w:t>
      </w:r>
    </w:p>
    <w:p w14:paraId="515E6CE1" w14:textId="39CEBBEF" w:rsidR="00C51F8D" w:rsidRPr="001D63C5" w:rsidRDefault="008D1D8F" w:rsidP="00C51F8D">
      <w:pPr>
        <w:spacing w:before="360" w:after="360" w:line="276" w:lineRule="auto"/>
        <w:ind w:left="3420" w:hanging="2250"/>
        <w:jc w:val="both"/>
        <w:rPr>
          <w:sz w:val="24"/>
          <w:szCs w:val="24"/>
        </w:rPr>
      </w:pPr>
      <w:r w:rsidRPr="001D63C5">
        <w:rPr>
          <w:b/>
          <w:sz w:val="24"/>
          <w:szCs w:val="24"/>
        </w:rPr>
        <w:t>Signal</w:t>
      </w:r>
      <w:r w:rsidR="00C51F8D" w:rsidRPr="001D63C5">
        <w:rPr>
          <w:bCs/>
          <w:sz w:val="24"/>
          <w:szCs w:val="24"/>
        </w:rPr>
        <w:t xml:space="preserve"> </w:t>
      </w:r>
      <w:r w:rsidR="00A12786">
        <w:rPr>
          <w:bCs/>
          <w:sz w:val="24"/>
          <w:szCs w:val="24"/>
        </w:rPr>
        <w:tab/>
      </w:r>
      <w:r w:rsidR="00C51F8D" w:rsidRPr="001D63C5">
        <w:rPr>
          <w:sz w:val="24"/>
          <w:szCs w:val="24"/>
        </w:rPr>
        <w:t>means reported information on a possible causal relationship between an adverse event and a drug or a therapeutic good, the relationship being unknown or incompletely documented previously. Usually, more than a single report is required to generate a signal, depending upon the seriousness of the event and the quality of the information. The publication of a signal usually implies the need for some kind of review or action;</w:t>
      </w:r>
    </w:p>
    <w:p w14:paraId="719EA4AF" w14:textId="638344AE" w:rsidR="002A7634" w:rsidRPr="001D63C5" w:rsidRDefault="002A7634" w:rsidP="002A7634">
      <w:pPr>
        <w:spacing w:before="360" w:after="360" w:line="276" w:lineRule="auto"/>
        <w:ind w:left="3420" w:hanging="2250"/>
        <w:jc w:val="both"/>
        <w:rPr>
          <w:sz w:val="24"/>
          <w:szCs w:val="24"/>
        </w:rPr>
      </w:pPr>
      <w:r w:rsidRPr="001D63C5">
        <w:rPr>
          <w:b/>
          <w:bCs/>
          <w:sz w:val="24"/>
          <w:szCs w:val="24"/>
        </w:rPr>
        <w:t>Spontaneous Reporting:</w:t>
      </w:r>
      <w:r w:rsidRPr="001D63C5">
        <w:rPr>
          <w:sz w:val="24"/>
          <w:szCs w:val="24"/>
        </w:rPr>
        <w:t xml:space="preserve"> a system whereby case reports of adverse drug events are voluntarily submitted from health professionals and registration holders to the </w:t>
      </w:r>
      <w:r w:rsidR="00501EAA" w:rsidRPr="001D63C5">
        <w:rPr>
          <w:sz w:val="24"/>
          <w:szCs w:val="24"/>
        </w:rPr>
        <w:t xml:space="preserve">National </w:t>
      </w:r>
      <w:r w:rsidRPr="001D63C5">
        <w:rPr>
          <w:sz w:val="24"/>
          <w:szCs w:val="24"/>
        </w:rPr>
        <w:t>regulatory authority; or</w:t>
      </w:r>
    </w:p>
    <w:p w14:paraId="64EA9834" w14:textId="77777777" w:rsidR="00C51F8D" w:rsidRPr="001D63C5" w:rsidRDefault="002A7634" w:rsidP="00C51F8D">
      <w:pPr>
        <w:spacing w:before="360" w:after="360" w:line="276" w:lineRule="auto"/>
        <w:ind w:left="3420" w:hanging="2250"/>
        <w:jc w:val="both"/>
        <w:rPr>
          <w:sz w:val="24"/>
          <w:szCs w:val="24"/>
        </w:rPr>
      </w:pPr>
      <w:r w:rsidRPr="001D63C5">
        <w:rPr>
          <w:b/>
          <w:bCs/>
          <w:sz w:val="24"/>
          <w:szCs w:val="24"/>
        </w:rPr>
        <w:tab/>
      </w:r>
      <w:r w:rsidRPr="001D63C5">
        <w:rPr>
          <w:sz w:val="24"/>
          <w:szCs w:val="24"/>
        </w:rPr>
        <w:t>unsolicited communication by a healthcare professional or consumer to a company, regulatory authority or other organization such as World Health Organization, and poison control centre that describes one or more adverse drug reactions in a patient who was given one or more therapeutic goods and that does not derive from a study or any organized data collection scheme</w:t>
      </w:r>
      <w:r w:rsidR="00C51F8D" w:rsidRPr="001D63C5">
        <w:rPr>
          <w:sz w:val="24"/>
          <w:szCs w:val="24"/>
        </w:rPr>
        <w:t>.</w:t>
      </w:r>
    </w:p>
    <w:p w14:paraId="4E5D3EB3" w14:textId="05D3EE27" w:rsidR="00C51F8D" w:rsidRPr="001D63C5" w:rsidRDefault="007F1DF2" w:rsidP="00C51F8D">
      <w:pPr>
        <w:spacing w:before="360" w:after="360" w:line="276" w:lineRule="auto"/>
        <w:ind w:left="3420" w:hanging="2250"/>
        <w:jc w:val="both"/>
        <w:rPr>
          <w:sz w:val="24"/>
          <w:szCs w:val="24"/>
        </w:rPr>
      </w:pPr>
      <w:r w:rsidRPr="001D63C5">
        <w:rPr>
          <w:b/>
          <w:bCs/>
          <w:sz w:val="24"/>
          <w:szCs w:val="24"/>
        </w:rPr>
        <w:t>Registration Holder:</w:t>
      </w:r>
      <w:r w:rsidR="00C51F8D" w:rsidRPr="001D63C5">
        <w:rPr>
          <w:sz w:val="24"/>
          <w:szCs w:val="24"/>
        </w:rPr>
        <w:t xml:space="preserve"> </w:t>
      </w:r>
      <w:r w:rsidR="00501EAA" w:rsidRPr="001D63C5">
        <w:rPr>
          <w:sz w:val="24"/>
          <w:szCs w:val="24"/>
        </w:rPr>
        <w:t xml:space="preserve">Means </w:t>
      </w:r>
      <w:r w:rsidR="00C51F8D" w:rsidRPr="001D63C5">
        <w:rPr>
          <w:sz w:val="24"/>
          <w:szCs w:val="24"/>
        </w:rPr>
        <w:t>manufacturer or importer possessing registration or enlistment of therapeutic goods, as the case may be</w:t>
      </w:r>
      <w:r w:rsidR="00D82043">
        <w:rPr>
          <w:sz w:val="24"/>
          <w:szCs w:val="24"/>
        </w:rPr>
        <w:t xml:space="preserve"> as per </w:t>
      </w:r>
      <w:r w:rsidR="00D82043">
        <w:rPr>
          <w:sz w:val="24"/>
          <w:szCs w:val="24"/>
        </w:rPr>
        <w:lastRenderedPageBreak/>
        <w:t>Pharmacovigilance Rules, 2022</w:t>
      </w:r>
      <w:r w:rsidR="00C51F8D" w:rsidRPr="001D63C5">
        <w:rPr>
          <w:sz w:val="24"/>
          <w:szCs w:val="24"/>
        </w:rPr>
        <w:t>;</w:t>
      </w:r>
    </w:p>
    <w:p w14:paraId="21B117B9" w14:textId="25A86FEC" w:rsidR="00C51F8D" w:rsidRPr="001D63C5" w:rsidRDefault="002A7634" w:rsidP="00C51F8D">
      <w:pPr>
        <w:spacing w:before="360" w:after="360" w:line="276" w:lineRule="auto"/>
        <w:ind w:left="3420" w:hanging="2250"/>
        <w:jc w:val="both"/>
        <w:rPr>
          <w:rStyle w:val="Hyperlink"/>
          <w:rFonts w:asciiTheme="majorBidi" w:hAnsiTheme="majorBidi" w:cstheme="majorBidi"/>
          <w:sz w:val="24"/>
          <w:szCs w:val="24"/>
        </w:rPr>
      </w:pPr>
      <w:r w:rsidRPr="001D63C5">
        <w:rPr>
          <w:b/>
          <w:bCs/>
          <w:sz w:val="24"/>
          <w:szCs w:val="24"/>
        </w:rPr>
        <w:t>Therapeutic Goods:</w:t>
      </w:r>
      <w:r w:rsidRPr="001D63C5">
        <w:rPr>
          <w:b/>
          <w:bCs/>
          <w:sz w:val="24"/>
          <w:szCs w:val="24"/>
        </w:rPr>
        <w:tab/>
      </w:r>
      <w:r w:rsidRPr="001D63C5">
        <w:rPr>
          <w:sz w:val="24"/>
          <w:szCs w:val="24"/>
        </w:rPr>
        <w:t>Includes drugs or alternative medicine or medical devices or b</w:t>
      </w:r>
      <w:r w:rsidRPr="001D63C5">
        <w:rPr>
          <w:color w:val="000000" w:themeColor="text1"/>
          <w:sz w:val="24"/>
          <w:szCs w:val="24"/>
        </w:rPr>
        <w:t xml:space="preserve">iologicals or other related product as may be notified by DRAP. </w:t>
      </w:r>
      <w:r w:rsidRPr="001D63C5">
        <w:rPr>
          <w:rFonts w:asciiTheme="majorBidi" w:hAnsiTheme="majorBidi" w:cstheme="majorBidi"/>
          <w:color w:val="000000" w:themeColor="text1"/>
          <w:sz w:val="24"/>
          <w:szCs w:val="24"/>
        </w:rPr>
        <w:t xml:space="preserve">Further explanation of each class of therapeutic goods is given in Schedule II of the </w:t>
      </w:r>
      <w:hyperlink r:id="rId22" w:history="1">
        <w:r w:rsidRPr="001D63C5">
          <w:rPr>
            <w:rStyle w:val="Hyperlink"/>
            <w:rFonts w:asciiTheme="majorBidi" w:hAnsiTheme="majorBidi" w:cstheme="majorBidi"/>
            <w:sz w:val="24"/>
            <w:szCs w:val="24"/>
          </w:rPr>
          <w:t>DRAP Act, 2012.</w:t>
        </w:r>
      </w:hyperlink>
    </w:p>
    <w:p w14:paraId="2646B463" w14:textId="3E110200" w:rsidR="00C51F8D" w:rsidRPr="001D63C5" w:rsidRDefault="00C51F8D" w:rsidP="00C51F8D">
      <w:pPr>
        <w:spacing w:before="360" w:after="360" w:line="276" w:lineRule="auto"/>
        <w:ind w:left="3420" w:hanging="2250"/>
        <w:jc w:val="both"/>
        <w:rPr>
          <w:sz w:val="24"/>
          <w:szCs w:val="24"/>
        </w:rPr>
      </w:pPr>
      <w:r w:rsidRPr="001D63C5">
        <w:rPr>
          <w:b/>
          <w:bCs/>
          <w:sz w:val="24"/>
          <w:szCs w:val="24"/>
        </w:rPr>
        <w:t>Therapeutic Good Safety Alerts:</w:t>
      </w:r>
      <w:r w:rsidRPr="001D63C5">
        <w:rPr>
          <w:sz w:val="24"/>
          <w:szCs w:val="24"/>
        </w:rPr>
        <w:t xml:space="preserve">  means safety information as an alert for a specific audience issued by NPC or PPC; </w:t>
      </w:r>
    </w:p>
    <w:p w14:paraId="332C2ACC" w14:textId="7397F95B" w:rsidR="00C51F8D" w:rsidRPr="001D63C5" w:rsidRDefault="00C51F8D" w:rsidP="007871ED">
      <w:pPr>
        <w:spacing w:before="360" w:after="360" w:line="276" w:lineRule="auto"/>
        <w:ind w:left="3420" w:hanging="2250"/>
        <w:jc w:val="both"/>
        <w:rPr>
          <w:rFonts w:asciiTheme="majorBidi" w:hAnsiTheme="majorBidi" w:cstheme="majorBidi"/>
          <w:color w:val="0563C1" w:themeColor="hyperlink"/>
          <w:sz w:val="24"/>
          <w:szCs w:val="24"/>
          <w:u w:val="single"/>
        </w:rPr>
      </w:pPr>
      <w:r w:rsidRPr="001D63C5">
        <w:rPr>
          <w:b/>
          <w:bCs/>
          <w:sz w:val="24"/>
          <w:szCs w:val="24"/>
        </w:rPr>
        <w:t>Therapeutic Good Sale Point</w:t>
      </w:r>
      <w:r w:rsidRPr="001D63C5">
        <w:rPr>
          <w:sz w:val="24"/>
          <w:szCs w:val="24"/>
        </w:rPr>
        <w:t>: means a point of sale of drugs or therapeutic goods, defined in individual Drug Rules of respective Provinces and administrative territories, such as a medical store, pharmacy or wholesale; and</w:t>
      </w:r>
    </w:p>
    <w:p w14:paraId="7B2CB953" w14:textId="6F0C90C6" w:rsidR="00BF56FC" w:rsidRDefault="002A7634" w:rsidP="00AD51A5">
      <w:pPr>
        <w:spacing w:before="360" w:after="360" w:line="276" w:lineRule="auto"/>
        <w:ind w:left="3420" w:hanging="2250"/>
        <w:jc w:val="both"/>
        <w:rPr>
          <w:sz w:val="24"/>
          <w:szCs w:val="24"/>
        </w:rPr>
      </w:pPr>
      <w:r w:rsidRPr="001D63C5">
        <w:rPr>
          <w:b/>
          <w:bCs/>
          <w:sz w:val="24"/>
          <w:szCs w:val="24"/>
        </w:rPr>
        <w:t>WHO-UMC:</w:t>
      </w:r>
      <w:r w:rsidRPr="001D63C5">
        <w:rPr>
          <w:b/>
          <w:bCs/>
          <w:sz w:val="24"/>
          <w:szCs w:val="24"/>
        </w:rPr>
        <w:tab/>
      </w:r>
      <w:r w:rsidRPr="001D63C5">
        <w:rPr>
          <w:sz w:val="24"/>
          <w:szCs w:val="24"/>
        </w:rPr>
        <w:t>World Health Organization Uppsala Monitoring Centre.</w:t>
      </w:r>
    </w:p>
    <w:p w14:paraId="64E98E7F" w14:textId="532420B3" w:rsidR="00746253" w:rsidRPr="001D63C5" w:rsidRDefault="00BF56FC" w:rsidP="00BF56FC">
      <w:pPr>
        <w:widowControl/>
        <w:spacing w:before="120" w:after="120" w:line="360" w:lineRule="auto"/>
        <w:jc w:val="both"/>
        <w:rPr>
          <w:sz w:val="24"/>
          <w:szCs w:val="24"/>
        </w:rPr>
      </w:pPr>
      <w:r>
        <w:rPr>
          <w:sz w:val="24"/>
          <w:szCs w:val="24"/>
        </w:rPr>
        <w:br w:type="page"/>
      </w:r>
    </w:p>
    <w:p w14:paraId="7DCE9863" w14:textId="59B12AC9" w:rsidR="00676A86" w:rsidRDefault="00897957" w:rsidP="00893329">
      <w:pPr>
        <w:pStyle w:val="Level1DRAP"/>
      </w:pPr>
      <w:bookmarkStart w:id="7" w:name="_Toc110329925"/>
      <w:r>
        <w:lastRenderedPageBreak/>
        <w:t>CHAPTERS</w:t>
      </w:r>
      <w:bookmarkEnd w:id="7"/>
    </w:p>
    <w:tbl>
      <w:tblPr>
        <w:tblStyle w:val="TableGrid"/>
        <w:tblW w:w="0" w:type="auto"/>
        <w:tblInd w:w="985" w:type="dxa"/>
        <w:tblLook w:val="04A0" w:firstRow="1" w:lastRow="0" w:firstColumn="1" w:lastColumn="0" w:noHBand="0" w:noVBand="1"/>
      </w:tblPr>
      <w:tblGrid>
        <w:gridCol w:w="8280"/>
      </w:tblGrid>
      <w:tr w:rsidR="00E4246E" w14:paraId="35545070" w14:textId="77777777" w:rsidTr="00AC2D05">
        <w:trPr>
          <w:trHeight w:val="449"/>
        </w:trPr>
        <w:tc>
          <w:tcPr>
            <w:tcW w:w="8280" w:type="dxa"/>
            <w:shd w:val="clear" w:color="auto" w:fill="00B0F0"/>
          </w:tcPr>
          <w:p w14:paraId="5536E0A0" w14:textId="22240132" w:rsidR="00E4246E" w:rsidRPr="00E4246E" w:rsidRDefault="00E4246E" w:rsidP="00E4246E">
            <w:pPr>
              <w:widowControl/>
              <w:ind w:right="-187"/>
              <w:jc w:val="center"/>
              <w:rPr>
                <w:b/>
                <w:sz w:val="28"/>
                <w:szCs w:val="28"/>
              </w:rPr>
            </w:pPr>
            <w:r w:rsidRPr="00E4246E">
              <w:rPr>
                <w:b/>
                <w:sz w:val="28"/>
                <w:szCs w:val="28"/>
              </w:rPr>
              <w:t>Chapter-I</w:t>
            </w:r>
          </w:p>
        </w:tc>
      </w:tr>
    </w:tbl>
    <w:p w14:paraId="1AD02E5E" w14:textId="77777777" w:rsidR="00E4246E" w:rsidRPr="00E4246E" w:rsidRDefault="00E4246E" w:rsidP="00E4246E">
      <w:pPr>
        <w:widowControl/>
        <w:spacing w:before="120" w:after="120"/>
        <w:ind w:right="-180"/>
        <w:rPr>
          <w:b/>
          <w:sz w:val="2"/>
          <w:szCs w:val="2"/>
        </w:rPr>
      </w:pPr>
    </w:p>
    <w:p w14:paraId="7CC348DE" w14:textId="2C56296A" w:rsidR="00676A86" w:rsidRPr="001D44F6" w:rsidRDefault="00CF2990" w:rsidP="00B551AA">
      <w:pPr>
        <w:pStyle w:val="ListParagraph"/>
        <w:numPr>
          <w:ilvl w:val="0"/>
          <w:numId w:val="72"/>
        </w:numPr>
        <w:ind w:left="270" w:hanging="270"/>
      </w:pPr>
      <w:bookmarkStart w:id="8" w:name="_Toc110329926"/>
      <w:r w:rsidRPr="009A003E">
        <w:rPr>
          <w:rStyle w:val="Level1DRAPChar"/>
        </w:rPr>
        <w:t>STRUCTURE OF PHARMACOVIGILANCE PROGRAMME OF PAKISTAN</w:t>
      </w:r>
      <w:bookmarkEnd w:id="8"/>
      <w:r w:rsidR="007C67B3" w:rsidRPr="001D44F6">
        <w:t>.</w:t>
      </w:r>
    </w:p>
    <w:p w14:paraId="082D5C74" w14:textId="65C6B428" w:rsidR="000935AF" w:rsidRPr="00987889" w:rsidRDefault="00987889" w:rsidP="006D4E04">
      <w:pPr>
        <w:spacing w:before="120" w:after="120" w:line="360" w:lineRule="auto"/>
        <w:rPr>
          <w:b/>
          <w:bCs/>
          <w:sz w:val="28"/>
          <w:szCs w:val="28"/>
          <w:u w:val="single"/>
        </w:rPr>
      </w:pPr>
      <w:bookmarkStart w:id="9" w:name="_Hlk104893928"/>
      <w:r w:rsidRPr="00987889">
        <w:rPr>
          <w:rFonts w:eastAsiaTheme="majorEastAsia"/>
          <w:b/>
          <w:bCs/>
          <w:sz w:val="28"/>
          <w:szCs w:val="28"/>
        </w:rPr>
        <w:t xml:space="preserve">1.1 </w:t>
      </w:r>
      <w:r w:rsidR="000935AF" w:rsidRPr="00987889">
        <w:rPr>
          <w:rFonts w:eastAsiaTheme="majorEastAsia"/>
          <w:b/>
          <w:bCs/>
          <w:sz w:val="28"/>
          <w:szCs w:val="28"/>
          <w:u w:val="single"/>
        </w:rPr>
        <w:t xml:space="preserve">Legal </w:t>
      </w:r>
      <w:r w:rsidR="003B021A" w:rsidRPr="00987889">
        <w:rPr>
          <w:rFonts w:eastAsiaTheme="majorEastAsia"/>
          <w:b/>
          <w:bCs/>
          <w:sz w:val="28"/>
          <w:szCs w:val="28"/>
          <w:u w:val="single"/>
        </w:rPr>
        <w:t xml:space="preserve">basis </w:t>
      </w:r>
      <w:r w:rsidR="000935AF" w:rsidRPr="00987889">
        <w:rPr>
          <w:rFonts w:eastAsiaTheme="majorEastAsia"/>
          <w:b/>
          <w:bCs/>
          <w:sz w:val="28"/>
          <w:szCs w:val="28"/>
          <w:u w:val="single"/>
        </w:rPr>
        <w:t xml:space="preserve">for </w:t>
      </w:r>
      <w:r w:rsidR="003B021A" w:rsidRPr="00987889">
        <w:rPr>
          <w:rFonts w:eastAsiaTheme="majorEastAsia"/>
          <w:b/>
          <w:bCs/>
          <w:sz w:val="28"/>
          <w:szCs w:val="28"/>
          <w:u w:val="single"/>
        </w:rPr>
        <w:t xml:space="preserve">pharmacovigilance activities </w:t>
      </w:r>
      <w:r w:rsidR="000935AF" w:rsidRPr="00987889">
        <w:rPr>
          <w:rFonts w:eastAsiaTheme="majorEastAsia"/>
          <w:b/>
          <w:bCs/>
          <w:sz w:val="28"/>
          <w:szCs w:val="28"/>
          <w:u w:val="single"/>
        </w:rPr>
        <w:t>in Pakistan</w:t>
      </w:r>
      <w:bookmarkEnd w:id="9"/>
      <w:r w:rsidR="000935AF" w:rsidRPr="00987889">
        <w:rPr>
          <w:b/>
          <w:bCs/>
          <w:sz w:val="28"/>
          <w:szCs w:val="28"/>
          <w:u w:val="single"/>
        </w:rPr>
        <w:t>.</w:t>
      </w:r>
    </w:p>
    <w:p w14:paraId="30F98146" w14:textId="1D2C9273" w:rsidR="000935AF" w:rsidRDefault="00E03A13" w:rsidP="000C06BF">
      <w:pPr>
        <w:spacing w:before="120" w:after="120" w:line="360" w:lineRule="auto"/>
        <w:ind w:left="540"/>
        <w:jc w:val="both"/>
        <w:rPr>
          <w:bCs/>
          <w:sz w:val="24"/>
          <w:szCs w:val="24"/>
        </w:rPr>
      </w:pPr>
      <w:hyperlink r:id="rId23" w:history="1">
        <w:r w:rsidR="000935AF" w:rsidRPr="004B2FC3">
          <w:rPr>
            <w:rStyle w:val="Hyperlink"/>
            <w:bCs/>
            <w:sz w:val="24"/>
            <w:szCs w:val="24"/>
          </w:rPr>
          <w:t xml:space="preserve">The </w:t>
        </w:r>
        <w:r w:rsidR="000935AF" w:rsidRPr="004B2FC3">
          <w:rPr>
            <w:rStyle w:val="Hyperlink"/>
            <w:b/>
            <w:sz w:val="24"/>
            <w:szCs w:val="24"/>
          </w:rPr>
          <w:t>DRAP Act, 2012[</w:t>
        </w:r>
        <w:r w:rsidR="000935AF" w:rsidRPr="004B2FC3">
          <w:rPr>
            <w:rStyle w:val="Hyperlink"/>
            <w:bCs/>
            <w:sz w:val="24"/>
            <w:szCs w:val="24"/>
          </w:rPr>
          <w:t>XXI of 2012]</w:t>
        </w:r>
      </w:hyperlink>
      <w:r w:rsidR="000935AF" w:rsidRPr="00E90AF9">
        <w:rPr>
          <w:bCs/>
          <w:sz w:val="24"/>
          <w:szCs w:val="24"/>
        </w:rPr>
        <w:t xml:space="preserve"> is the law in Pakistan that govern Pharmacovigilance activities in Pakistan.</w:t>
      </w:r>
      <w:r w:rsidR="000935AF" w:rsidRPr="00E90AF9">
        <w:rPr>
          <w:rFonts w:eastAsiaTheme="minorEastAsia"/>
          <w:color w:val="000000" w:themeColor="text1"/>
          <w:kern w:val="24"/>
        </w:rPr>
        <w:t xml:space="preserve"> </w:t>
      </w:r>
      <w:r w:rsidR="000935AF" w:rsidRPr="00E90AF9">
        <w:rPr>
          <w:bCs/>
          <w:sz w:val="24"/>
          <w:szCs w:val="24"/>
        </w:rPr>
        <w:t>As per Section 2 (xxvi) and</w:t>
      </w:r>
      <w:r w:rsidR="000935AF" w:rsidRPr="00E90AF9">
        <w:rPr>
          <w:rFonts w:eastAsiaTheme="minorEastAsia"/>
          <w:color w:val="000000" w:themeColor="text1"/>
          <w:kern w:val="24"/>
        </w:rPr>
        <w:t xml:space="preserve"> </w:t>
      </w:r>
      <w:r w:rsidR="000935AF" w:rsidRPr="00E90AF9">
        <w:rPr>
          <w:bCs/>
          <w:sz w:val="24"/>
          <w:szCs w:val="24"/>
        </w:rPr>
        <w:t xml:space="preserve">Section 4 (1) (g) of </w:t>
      </w:r>
      <w:r w:rsidR="00E070A2">
        <w:rPr>
          <w:bCs/>
          <w:sz w:val="24"/>
          <w:szCs w:val="24"/>
        </w:rPr>
        <w:t xml:space="preserve">the </w:t>
      </w:r>
      <w:r w:rsidR="000935AF" w:rsidRPr="00E90AF9">
        <w:rPr>
          <w:bCs/>
          <w:sz w:val="24"/>
          <w:szCs w:val="24"/>
        </w:rPr>
        <w:t>DRAP Act, 2012, the Division of Pharmacy Services has been given the mandate to develop, promote and regulate pharmacovigilance activities in Pakistan.</w:t>
      </w:r>
    </w:p>
    <w:p w14:paraId="686D459D" w14:textId="15774075" w:rsidR="00442766" w:rsidRPr="000C06BF" w:rsidRDefault="000935AF" w:rsidP="000C06BF">
      <w:pPr>
        <w:widowControl/>
        <w:autoSpaceDE w:val="0"/>
        <w:autoSpaceDN w:val="0"/>
        <w:adjustRightInd w:val="0"/>
        <w:spacing w:before="120" w:after="120" w:line="360" w:lineRule="auto"/>
        <w:ind w:left="540"/>
        <w:jc w:val="both"/>
        <w:rPr>
          <w:rFonts w:eastAsiaTheme="minorHAnsi"/>
          <w:sz w:val="24"/>
          <w:szCs w:val="24"/>
          <w:lang w:val="en-US"/>
        </w:rPr>
      </w:pPr>
      <w:r w:rsidRPr="000935AF">
        <w:rPr>
          <w:bCs/>
          <w:sz w:val="24"/>
          <w:szCs w:val="24"/>
        </w:rPr>
        <w:t>To a</w:t>
      </w:r>
      <w:r w:rsidR="00E070A2">
        <w:rPr>
          <w:bCs/>
          <w:sz w:val="24"/>
          <w:szCs w:val="24"/>
        </w:rPr>
        <w:t>c</w:t>
      </w:r>
      <w:r w:rsidRPr="000935AF">
        <w:rPr>
          <w:bCs/>
          <w:sz w:val="24"/>
          <w:szCs w:val="24"/>
        </w:rPr>
        <w:t xml:space="preserve">complish the task, </w:t>
      </w:r>
      <w:r w:rsidRPr="000935AF">
        <w:rPr>
          <w:rFonts w:eastAsiaTheme="minorHAnsi"/>
          <w:sz w:val="24"/>
          <w:szCs w:val="24"/>
          <w:lang w:val="en-US"/>
        </w:rPr>
        <w:t xml:space="preserve">in </w:t>
      </w:r>
      <w:r w:rsidR="00E53839">
        <w:rPr>
          <w:rFonts w:eastAsiaTheme="minorHAnsi"/>
          <w:sz w:val="24"/>
          <w:szCs w:val="24"/>
          <w:lang w:val="en-US"/>
        </w:rPr>
        <w:t xml:space="preserve">the </w:t>
      </w:r>
      <w:r w:rsidRPr="000935AF">
        <w:rPr>
          <w:rFonts w:eastAsiaTheme="minorHAnsi"/>
          <w:sz w:val="24"/>
          <w:szCs w:val="24"/>
          <w:lang w:val="en-US"/>
        </w:rPr>
        <w:t xml:space="preserve">exercise of the powers conferred by </w:t>
      </w:r>
      <w:r w:rsidR="00CD5BE3" w:rsidRPr="000935AF">
        <w:rPr>
          <w:rFonts w:eastAsiaTheme="minorHAnsi"/>
          <w:sz w:val="24"/>
          <w:szCs w:val="24"/>
          <w:lang w:val="en-US"/>
        </w:rPr>
        <w:t xml:space="preserve">Section </w:t>
      </w:r>
      <w:r w:rsidRPr="000935AF">
        <w:rPr>
          <w:rFonts w:eastAsiaTheme="minorHAnsi"/>
          <w:sz w:val="24"/>
          <w:szCs w:val="24"/>
          <w:lang w:val="en-US"/>
        </w:rPr>
        <w:t xml:space="preserve">23 of the </w:t>
      </w:r>
      <w:hyperlink r:id="rId24" w:history="1">
        <w:r w:rsidRPr="004B2FC3">
          <w:rPr>
            <w:rStyle w:val="Hyperlink"/>
            <w:rFonts w:eastAsiaTheme="minorHAnsi"/>
            <w:sz w:val="24"/>
            <w:szCs w:val="24"/>
            <w:lang w:val="en-US"/>
          </w:rPr>
          <w:t>Drug</w:t>
        </w:r>
        <w:r w:rsidR="00E53839" w:rsidRPr="004B2FC3">
          <w:rPr>
            <w:rStyle w:val="Hyperlink"/>
            <w:rFonts w:eastAsiaTheme="minorHAnsi"/>
            <w:sz w:val="24"/>
            <w:szCs w:val="24"/>
            <w:lang w:val="en-US"/>
          </w:rPr>
          <w:t xml:space="preserve"> </w:t>
        </w:r>
        <w:r w:rsidRPr="004B2FC3">
          <w:rPr>
            <w:rStyle w:val="Hyperlink"/>
            <w:rFonts w:eastAsiaTheme="minorHAnsi"/>
            <w:sz w:val="24"/>
            <w:szCs w:val="24"/>
            <w:lang w:val="en-US"/>
          </w:rPr>
          <w:t>Regulatory Authority of Pakistan Act, 2012 (XXI of 2012)</w:t>
        </w:r>
      </w:hyperlink>
      <w:r w:rsidRPr="000935AF">
        <w:rPr>
          <w:rFonts w:eastAsiaTheme="minorHAnsi"/>
          <w:sz w:val="24"/>
          <w:szCs w:val="24"/>
          <w:lang w:val="en-US"/>
        </w:rPr>
        <w:t>, the DRAP with the approval of the Federal Gove</w:t>
      </w:r>
      <w:r w:rsidR="00E070A2">
        <w:rPr>
          <w:rFonts w:eastAsiaTheme="minorHAnsi"/>
          <w:sz w:val="24"/>
          <w:szCs w:val="24"/>
          <w:lang w:val="en-US"/>
        </w:rPr>
        <w:t>rn</w:t>
      </w:r>
      <w:r w:rsidRPr="000935AF">
        <w:rPr>
          <w:rFonts w:eastAsiaTheme="minorHAnsi"/>
          <w:sz w:val="24"/>
          <w:szCs w:val="24"/>
          <w:lang w:val="en-US"/>
        </w:rPr>
        <w:t>ment</w:t>
      </w:r>
      <w:r w:rsidRPr="000935AF">
        <w:rPr>
          <w:bCs/>
          <w:sz w:val="24"/>
          <w:szCs w:val="24"/>
        </w:rPr>
        <w:t xml:space="preserve"> notified </w:t>
      </w:r>
      <w:r w:rsidRPr="005F0761">
        <w:rPr>
          <w:bCs/>
          <w:sz w:val="24"/>
          <w:szCs w:val="24"/>
        </w:rPr>
        <w:t>Pharmacovigilance Rules, 2022</w:t>
      </w:r>
      <w:r w:rsidR="005F0761" w:rsidRPr="005F0761">
        <w:rPr>
          <w:bCs/>
          <w:sz w:val="24"/>
          <w:szCs w:val="24"/>
        </w:rPr>
        <w:t xml:space="preserve"> vide S.R.O 540 (I)/2022 dated 22</w:t>
      </w:r>
      <w:r w:rsidR="005F0761" w:rsidRPr="005F0761">
        <w:rPr>
          <w:bCs/>
          <w:sz w:val="24"/>
          <w:szCs w:val="24"/>
          <w:vertAlign w:val="superscript"/>
        </w:rPr>
        <w:t>nd</w:t>
      </w:r>
      <w:r w:rsidR="005F0761" w:rsidRPr="005F0761">
        <w:rPr>
          <w:bCs/>
          <w:sz w:val="24"/>
          <w:szCs w:val="24"/>
        </w:rPr>
        <w:t xml:space="preserve"> April, 2022</w:t>
      </w:r>
      <w:r>
        <w:rPr>
          <w:bCs/>
          <w:sz w:val="24"/>
          <w:szCs w:val="24"/>
        </w:rPr>
        <w:t>. The</w:t>
      </w:r>
      <w:r w:rsidR="00FC490B">
        <w:rPr>
          <w:bCs/>
          <w:sz w:val="24"/>
          <w:szCs w:val="24"/>
        </w:rPr>
        <w:t>se</w:t>
      </w:r>
      <w:r>
        <w:rPr>
          <w:bCs/>
          <w:sz w:val="24"/>
          <w:szCs w:val="24"/>
        </w:rPr>
        <w:t xml:space="preserve"> rules define the legal obli</w:t>
      </w:r>
      <w:r w:rsidR="00FC490B">
        <w:rPr>
          <w:bCs/>
          <w:sz w:val="24"/>
          <w:szCs w:val="24"/>
        </w:rPr>
        <w:t xml:space="preserve">gation of stakeholders such as National and </w:t>
      </w:r>
      <w:r w:rsidR="00E16089">
        <w:rPr>
          <w:bCs/>
          <w:sz w:val="24"/>
          <w:szCs w:val="24"/>
        </w:rPr>
        <w:t>Provincial Pharmacovigilance Centres</w:t>
      </w:r>
      <w:r w:rsidR="00FC490B">
        <w:rPr>
          <w:bCs/>
          <w:sz w:val="24"/>
          <w:szCs w:val="24"/>
        </w:rPr>
        <w:t xml:space="preserve">, </w:t>
      </w:r>
      <w:r w:rsidR="00E16089">
        <w:rPr>
          <w:bCs/>
          <w:sz w:val="24"/>
          <w:szCs w:val="24"/>
        </w:rPr>
        <w:t>Public Health Programmes</w:t>
      </w:r>
      <w:r w:rsidR="00FC490B">
        <w:rPr>
          <w:bCs/>
          <w:sz w:val="24"/>
          <w:szCs w:val="24"/>
        </w:rPr>
        <w:t xml:space="preserve">, </w:t>
      </w:r>
      <w:r w:rsidR="00E16089">
        <w:rPr>
          <w:bCs/>
          <w:sz w:val="24"/>
          <w:szCs w:val="24"/>
        </w:rPr>
        <w:t xml:space="preserve">Hospitals </w:t>
      </w:r>
      <w:r w:rsidR="00FC490B">
        <w:rPr>
          <w:bCs/>
          <w:sz w:val="24"/>
          <w:szCs w:val="24"/>
        </w:rPr>
        <w:t xml:space="preserve">and </w:t>
      </w:r>
      <w:r w:rsidR="00E16089">
        <w:rPr>
          <w:bCs/>
          <w:sz w:val="24"/>
          <w:szCs w:val="24"/>
        </w:rPr>
        <w:t xml:space="preserve">Registration Holders </w:t>
      </w:r>
      <w:r w:rsidR="006F5700">
        <w:rPr>
          <w:bCs/>
          <w:sz w:val="24"/>
          <w:szCs w:val="24"/>
        </w:rPr>
        <w:t>concerning</w:t>
      </w:r>
      <w:r w:rsidR="00FC490B">
        <w:rPr>
          <w:bCs/>
          <w:sz w:val="24"/>
          <w:szCs w:val="24"/>
        </w:rPr>
        <w:t xml:space="preserve"> </w:t>
      </w:r>
      <w:r w:rsidR="00E16089">
        <w:rPr>
          <w:bCs/>
          <w:sz w:val="24"/>
          <w:szCs w:val="24"/>
        </w:rPr>
        <w:t xml:space="preserve">the submission of </w:t>
      </w:r>
      <w:r w:rsidR="00FC490B">
        <w:rPr>
          <w:bCs/>
          <w:sz w:val="24"/>
          <w:szCs w:val="24"/>
        </w:rPr>
        <w:t>pharmacovigilance</w:t>
      </w:r>
      <w:r w:rsidR="006F5700">
        <w:rPr>
          <w:bCs/>
          <w:sz w:val="24"/>
          <w:szCs w:val="24"/>
        </w:rPr>
        <w:t xml:space="preserve"> data</w:t>
      </w:r>
      <w:r w:rsidR="00FC490B">
        <w:rPr>
          <w:bCs/>
          <w:sz w:val="24"/>
          <w:szCs w:val="24"/>
        </w:rPr>
        <w:t xml:space="preserve">. Further details regarding the </w:t>
      </w:r>
      <w:hyperlink r:id="rId25" w:history="1">
        <w:r w:rsidR="00FC490B" w:rsidRPr="00D553A6">
          <w:rPr>
            <w:rStyle w:val="Hyperlink"/>
            <w:bCs/>
            <w:sz w:val="24"/>
            <w:szCs w:val="24"/>
          </w:rPr>
          <w:t xml:space="preserve">Pharmacovigilance </w:t>
        </w:r>
        <w:r w:rsidR="00501EAA" w:rsidRPr="00D553A6">
          <w:rPr>
            <w:rStyle w:val="Hyperlink"/>
            <w:bCs/>
            <w:sz w:val="24"/>
            <w:szCs w:val="24"/>
          </w:rPr>
          <w:t>Rules, 2022</w:t>
        </w:r>
      </w:hyperlink>
      <w:r w:rsidR="00501EAA">
        <w:rPr>
          <w:bCs/>
          <w:sz w:val="24"/>
          <w:szCs w:val="24"/>
        </w:rPr>
        <w:t xml:space="preserve"> </w:t>
      </w:r>
      <w:r w:rsidR="006F5700">
        <w:rPr>
          <w:bCs/>
          <w:sz w:val="24"/>
          <w:szCs w:val="24"/>
        </w:rPr>
        <w:t>are</w:t>
      </w:r>
      <w:r w:rsidR="00FC490B">
        <w:rPr>
          <w:bCs/>
          <w:sz w:val="24"/>
          <w:szCs w:val="24"/>
        </w:rPr>
        <w:t xml:space="preserve"> available on the </w:t>
      </w:r>
      <w:hyperlink r:id="rId26" w:history="1">
        <w:r w:rsidR="00FC490B" w:rsidRPr="007E57C6">
          <w:rPr>
            <w:rStyle w:val="Hyperlink"/>
            <w:bCs/>
            <w:sz w:val="24"/>
            <w:szCs w:val="24"/>
          </w:rPr>
          <w:t>DRAP website.</w:t>
        </w:r>
      </w:hyperlink>
    </w:p>
    <w:p w14:paraId="368AE1BD" w14:textId="018EC27A" w:rsidR="001E5D32" w:rsidRPr="00272E6D" w:rsidRDefault="00987889" w:rsidP="00B91239">
      <w:pPr>
        <w:rPr>
          <w:rFonts w:eastAsiaTheme="majorEastAsia"/>
          <w:bCs/>
          <w:sz w:val="28"/>
          <w:szCs w:val="28"/>
        </w:rPr>
      </w:pPr>
      <w:r w:rsidRPr="00272E6D">
        <w:rPr>
          <w:rFonts w:eastAsiaTheme="majorEastAsia"/>
          <w:b/>
          <w:sz w:val="28"/>
          <w:szCs w:val="28"/>
        </w:rPr>
        <w:t>1.2</w:t>
      </w:r>
      <w:r w:rsidRPr="00272E6D">
        <w:rPr>
          <w:rFonts w:eastAsiaTheme="majorEastAsia"/>
          <w:bCs/>
          <w:sz w:val="28"/>
          <w:szCs w:val="28"/>
        </w:rPr>
        <w:t xml:space="preserve"> </w:t>
      </w:r>
      <w:r w:rsidR="00442766" w:rsidRPr="00272E6D">
        <w:rPr>
          <w:rFonts w:eastAsiaTheme="majorEastAsia"/>
          <w:b/>
          <w:sz w:val="28"/>
          <w:szCs w:val="28"/>
          <w:u w:val="single"/>
        </w:rPr>
        <w:t>Vision</w:t>
      </w:r>
    </w:p>
    <w:p w14:paraId="12054C62" w14:textId="0244E1EC" w:rsidR="00FC0B85" w:rsidRDefault="001E5D32" w:rsidP="004E70DA">
      <w:pPr>
        <w:spacing w:before="120" w:after="120" w:line="360" w:lineRule="auto"/>
        <w:ind w:left="547"/>
        <w:jc w:val="both"/>
        <w:rPr>
          <w:bCs/>
          <w:sz w:val="24"/>
          <w:szCs w:val="24"/>
        </w:rPr>
      </w:pPr>
      <w:r w:rsidRPr="00E90AF9">
        <w:rPr>
          <w:bCs/>
          <w:sz w:val="24"/>
          <w:szCs w:val="24"/>
        </w:rPr>
        <w:t xml:space="preserve">To safeguard the health of </w:t>
      </w:r>
      <w:r w:rsidR="006F5700">
        <w:rPr>
          <w:bCs/>
          <w:sz w:val="24"/>
          <w:szCs w:val="24"/>
        </w:rPr>
        <w:t xml:space="preserve">the </w:t>
      </w:r>
      <w:r w:rsidRPr="00E90AF9">
        <w:rPr>
          <w:bCs/>
          <w:sz w:val="24"/>
          <w:szCs w:val="24"/>
        </w:rPr>
        <w:t xml:space="preserve">Pakistani population by ensuring that the benefits of therapeutic goods outweigh the risk associated with their use. Further, in line with National Health Vision 2016-2025, the main vision of this programme is to establish vibrant </w:t>
      </w:r>
      <w:r w:rsidR="00BC48DC" w:rsidRPr="00E90AF9">
        <w:rPr>
          <w:bCs/>
          <w:sz w:val="24"/>
          <w:szCs w:val="24"/>
        </w:rPr>
        <w:t>pharmacovigilance centre</w:t>
      </w:r>
      <w:r w:rsidR="00BC48DC">
        <w:rPr>
          <w:bCs/>
          <w:sz w:val="24"/>
          <w:szCs w:val="24"/>
        </w:rPr>
        <w:t>s</w:t>
      </w:r>
      <w:r w:rsidR="00BC48DC" w:rsidRPr="00E90AF9">
        <w:rPr>
          <w:bCs/>
          <w:sz w:val="24"/>
          <w:szCs w:val="24"/>
        </w:rPr>
        <w:t xml:space="preserve"> </w:t>
      </w:r>
      <w:r w:rsidRPr="00E90AF9">
        <w:rPr>
          <w:bCs/>
          <w:sz w:val="24"/>
          <w:szCs w:val="24"/>
        </w:rPr>
        <w:t>at National Level and collecti</w:t>
      </w:r>
      <w:r w:rsidR="00C91ECA">
        <w:rPr>
          <w:bCs/>
          <w:sz w:val="24"/>
          <w:szCs w:val="24"/>
        </w:rPr>
        <w:t>on</w:t>
      </w:r>
      <w:r w:rsidRPr="00E90AF9">
        <w:rPr>
          <w:bCs/>
          <w:sz w:val="24"/>
          <w:szCs w:val="24"/>
        </w:rPr>
        <w:t xml:space="preserve"> points at </w:t>
      </w:r>
      <w:r w:rsidR="006F5700">
        <w:rPr>
          <w:bCs/>
          <w:sz w:val="24"/>
          <w:szCs w:val="24"/>
        </w:rPr>
        <w:t xml:space="preserve">the </w:t>
      </w:r>
      <w:r w:rsidRPr="00E90AF9">
        <w:rPr>
          <w:bCs/>
          <w:sz w:val="24"/>
          <w:szCs w:val="24"/>
        </w:rPr>
        <w:t>provincial level.</w:t>
      </w:r>
    </w:p>
    <w:p w14:paraId="29E4DD7D" w14:textId="3238A7B0" w:rsidR="00FC0B85" w:rsidRPr="00272E6D" w:rsidRDefault="00987889" w:rsidP="00B91239">
      <w:pPr>
        <w:rPr>
          <w:rFonts w:eastAsiaTheme="majorEastAsia"/>
          <w:sz w:val="28"/>
          <w:szCs w:val="28"/>
        </w:rPr>
      </w:pPr>
      <w:r w:rsidRPr="00272E6D">
        <w:rPr>
          <w:rFonts w:eastAsiaTheme="majorEastAsia"/>
          <w:b/>
          <w:bCs/>
          <w:sz w:val="28"/>
          <w:szCs w:val="28"/>
        </w:rPr>
        <w:t>1.3</w:t>
      </w:r>
      <w:r w:rsidRPr="00272E6D">
        <w:rPr>
          <w:rFonts w:eastAsiaTheme="majorEastAsia"/>
          <w:sz w:val="28"/>
          <w:szCs w:val="28"/>
        </w:rPr>
        <w:t xml:space="preserve"> </w:t>
      </w:r>
      <w:r w:rsidR="00FC0B85" w:rsidRPr="00272E6D">
        <w:rPr>
          <w:rFonts w:eastAsiaTheme="majorEastAsia"/>
          <w:b/>
          <w:bCs/>
          <w:sz w:val="28"/>
          <w:szCs w:val="28"/>
          <w:u w:val="single"/>
        </w:rPr>
        <w:t>Mission</w:t>
      </w:r>
    </w:p>
    <w:p w14:paraId="7C82B2D9" w14:textId="27BFC066" w:rsidR="00FC0B85" w:rsidRPr="00E90AF9" w:rsidRDefault="00FC0B85" w:rsidP="007E48A8">
      <w:pPr>
        <w:spacing w:before="120" w:after="120" w:line="360" w:lineRule="auto"/>
        <w:ind w:left="540"/>
        <w:jc w:val="both"/>
        <w:rPr>
          <w:bCs/>
          <w:sz w:val="24"/>
          <w:szCs w:val="24"/>
        </w:rPr>
      </w:pPr>
      <w:r w:rsidRPr="00E90AF9">
        <w:rPr>
          <w:bCs/>
          <w:sz w:val="24"/>
          <w:szCs w:val="24"/>
        </w:rPr>
        <w:t>To improve patient safety and the welfare of the Pakistani population by monitoring the safety of the therapeutic goods and accordingly reducing the risks associated with their use.</w:t>
      </w:r>
    </w:p>
    <w:p w14:paraId="611B565D" w14:textId="0B839A35" w:rsidR="00FC0B85" w:rsidRPr="00272E6D" w:rsidRDefault="00987889" w:rsidP="000C06BF">
      <w:pPr>
        <w:spacing w:before="120" w:after="120" w:line="360" w:lineRule="auto"/>
        <w:rPr>
          <w:rFonts w:eastAsiaTheme="majorEastAsia"/>
          <w:bCs/>
          <w:sz w:val="28"/>
          <w:szCs w:val="28"/>
        </w:rPr>
      </w:pPr>
      <w:r w:rsidRPr="00272E6D">
        <w:rPr>
          <w:rFonts w:eastAsiaTheme="majorEastAsia"/>
          <w:b/>
          <w:sz w:val="28"/>
          <w:szCs w:val="28"/>
        </w:rPr>
        <w:t>1.4</w:t>
      </w:r>
      <w:r w:rsidRPr="00272E6D">
        <w:rPr>
          <w:rFonts w:eastAsiaTheme="majorEastAsia"/>
          <w:bCs/>
          <w:sz w:val="28"/>
          <w:szCs w:val="28"/>
        </w:rPr>
        <w:t xml:space="preserve"> </w:t>
      </w:r>
      <w:r w:rsidR="00FC0B85" w:rsidRPr="00272E6D">
        <w:rPr>
          <w:rFonts w:eastAsiaTheme="majorEastAsia"/>
          <w:b/>
          <w:sz w:val="28"/>
          <w:szCs w:val="28"/>
          <w:u w:val="single"/>
        </w:rPr>
        <w:t xml:space="preserve">Scope of </w:t>
      </w:r>
      <w:r w:rsidR="003B021A" w:rsidRPr="00272E6D">
        <w:rPr>
          <w:rFonts w:eastAsiaTheme="majorEastAsia"/>
          <w:b/>
          <w:sz w:val="28"/>
          <w:szCs w:val="28"/>
          <w:u w:val="single"/>
        </w:rPr>
        <w:t xml:space="preserve">pharmacovigilance programme </w:t>
      </w:r>
      <w:r w:rsidR="00FC0B85" w:rsidRPr="00272E6D">
        <w:rPr>
          <w:rFonts w:eastAsiaTheme="majorEastAsia"/>
          <w:b/>
          <w:sz w:val="28"/>
          <w:szCs w:val="28"/>
          <w:u w:val="single"/>
        </w:rPr>
        <w:t xml:space="preserve">of </w:t>
      </w:r>
      <w:r w:rsidR="00AF666B">
        <w:rPr>
          <w:rFonts w:eastAsiaTheme="majorEastAsia"/>
          <w:b/>
          <w:sz w:val="28"/>
          <w:szCs w:val="28"/>
          <w:u w:val="single"/>
        </w:rPr>
        <w:t>P</w:t>
      </w:r>
      <w:r w:rsidR="003B021A" w:rsidRPr="00272E6D">
        <w:rPr>
          <w:rFonts w:eastAsiaTheme="majorEastAsia"/>
          <w:b/>
          <w:sz w:val="28"/>
          <w:szCs w:val="28"/>
          <w:u w:val="single"/>
        </w:rPr>
        <w:t>akistan</w:t>
      </w:r>
    </w:p>
    <w:p w14:paraId="70CD2478" w14:textId="065E837C" w:rsidR="00FC0B85" w:rsidRPr="00E90AF9" w:rsidRDefault="00FC0B85" w:rsidP="000C06BF">
      <w:pPr>
        <w:spacing w:before="120" w:after="120" w:line="360" w:lineRule="auto"/>
        <w:ind w:left="540"/>
        <w:jc w:val="both"/>
        <w:rPr>
          <w:bCs/>
          <w:sz w:val="24"/>
          <w:szCs w:val="24"/>
        </w:rPr>
      </w:pPr>
      <w:r w:rsidRPr="00E90AF9">
        <w:rPr>
          <w:bCs/>
          <w:sz w:val="24"/>
          <w:szCs w:val="24"/>
        </w:rPr>
        <w:t>The pharmacovigilance programme of Pakistan monitors the safety of therape</w:t>
      </w:r>
      <w:r>
        <w:rPr>
          <w:bCs/>
          <w:sz w:val="24"/>
          <w:szCs w:val="24"/>
        </w:rPr>
        <w:t xml:space="preserve">utic goods in </w:t>
      </w:r>
      <w:r w:rsidR="006F5700">
        <w:rPr>
          <w:bCs/>
          <w:sz w:val="24"/>
          <w:szCs w:val="24"/>
        </w:rPr>
        <w:t xml:space="preserve">the </w:t>
      </w:r>
      <w:r>
        <w:rPr>
          <w:bCs/>
          <w:sz w:val="24"/>
          <w:szCs w:val="24"/>
        </w:rPr>
        <w:t>post-</w:t>
      </w:r>
      <w:r w:rsidRPr="00E90AF9">
        <w:rPr>
          <w:bCs/>
          <w:sz w:val="24"/>
          <w:szCs w:val="24"/>
        </w:rPr>
        <w:t xml:space="preserve">marketing phase. The pharmacovigilance </w:t>
      </w:r>
      <w:r w:rsidR="006D27C8" w:rsidRPr="00E90AF9">
        <w:rPr>
          <w:bCs/>
          <w:sz w:val="24"/>
          <w:szCs w:val="24"/>
        </w:rPr>
        <w:t xml:space="preserve">programme </w:t>
      </w:r>
      <w:r w:rsidRPr="00E90AF9">
        <w:rPr>
          <w:bCs/>
          <w:sz w:val="24"/>
          <w:szCs w:val="24"/>
        </w:rPr>
        <w:t>of Pakistan collect</w:t>
      </w:r>
      <w:r>
        <w:rPr>
          <w:bCs/>
          <w:sz w:val="24"/>
          <w:szCs w:val="24"/>
        </w:rPr>
        <w:t>s</w:t>
      </w:r>
      <w:r w:rsidRPr="00E90AF9">
        <w:rPr>
          <w:bCs/>
          <w:sz w:val="24"/>
          <w:szCs w:val="24"/>
        </w:rPr>
        <w:t xml:space="preserve"> and monitors the following reports:</w:t>
      </w:r>
    </w:p>
    <w:p w14:paraId="2D99CE31" w14:textId="77777777" w:rsidR="006D27C8" w:rsidRPr="006A6011" w:rsidRDefault="006D27C8" w:rsidP="000C06BF">
      <w:pPr>
        <w:pStyle w:val="ListParagraph"/>
        <w:numPr>
          <w:ilvl w:val="2"/>
          <w:numId w:val="2"/>
        </w:numPr>
        <w:spacing w:before="120" w:after="120" w:line="360" w:lineRule="auto"/>
        <w:ind w:left="1260" w:hanging="360"/>
        <w:contextualSpacing w:val="0"/>
        <w:jc w:val="both"/>
        <w:rPr>
          <w:sz w:val="28"/>
          <w:szCs w:val="28"/>
        </w:rPr>
      </w:pPr>
      <w:r w:rsidRPr="006A6011">
        <w:rPr>
          <w:sz w:val="24"/>
          <w:szCs w:val="24"/>
        </w:rPr>
        <w:t xml:space="preserve">Known or unknown serious spontaneous suspected ADRs or AEs reports with </w:t>
      </w:r>
      <w:r w:rsidRPr="006A6011">
        <w:rPr>
          <w:sz w:val="24"/>
          <w:szCs w:val="24"/>
        </w:rPr>
        <w:lastRenderedPageBreak/>
        <w:t>therapeutic goods;</w:t>
      </w:r>
    </w:p>
    <w:p w14:paraId="0087F9EF" w14:textId="77777777" w:rsidR="006D27C8" w:rsidRPr="006A6011" w:rsidRDefault="006D27C8" w:rsidP="000C06BF">
      <w:pPr>
        <w:pStyle w:val="ListParagraph"/>
        <w:numPr>
          <w:ilvl w:val="2"/>
          <w:numId w:val="2"/>
        </w:numPr>
        <w:spacing w:before="120" w:after="120" w:line="360" w:lineRule="auto"/>
        <w:ind w:left="1260" w:hanging="360"/>
        <w:contextualSpacing w:val="0"/>
        <w:jc w:val="both"/>
        <w:rPr>
          <w:sz w:val="24"/>
          <w:szCs w:val="24"/>
        </w:rPr>
      </w:pPr>
      <w:r w:rsidRPr="006A6011">
        <w:rPr>
          <w:sz w:val="24"/>
          <w:szCs w:val="24"/>
        </w:rPr>
        <w:t>Known or unknown non-serious spontaneous suspected ADRs or AEs reports</w:t>
      </w:r>
      <w:r>
        <w:rPr>
          <w:sz w:val="24"/>
          <w:szCs w:val="24"/>
        </w:rPr>
        <w:t xml:space="preserve"> </w:t>
      </w:r>
      <w:r w:rsidRPr="006A6011">
        <w:rPr>
          <w:sz w:val="24"/>
          <w:szCs w:val="24"/>
        </w:rPr>
        <w:t>with therapeutic goods;</w:t>
      </w:r>
    </w:p>
    <w:p w14:paraId="7B8BE7EA" w14:textId="77777777" w:rsidR="006D27C8" w:rsidRPr="006A6011" w:rsidRDefault="006D27C8" w:rsidP="000C06BF">
      <w:pPr>
        <w:pStyle w:val="ListParagraph"/>
        <w:numPr>
          <w:ilvl w:val="2"/>
          <w:numId w:val="2"/>
        </w:numPr>
        <w:spacing w:before="120" w:after="120" w:line="360" w:lineRule="auto"/>
        <w:ind w:left="1260" w:hanging="360"/>
        <w:contextualSpacing w:val="0"/>
        <w:jc w:val="both"/>
        <w:rPr>
          <w:sz w:val="24"/>
          <w:szCs w:val="24"/>
        </w:rPr>
      </w:pPr>
      <w:r w:rsidRPr="006A6011">
        <w:rPr>
          <w:sz w:val="24"/>
          <w:szCs w:val="24"/>
        </w:rPr>
        <w:t>AEFIs report with vaccines;</w:t>
      </w:r>
    </w:p>
    <w:p w14:paraId="414CEEA6" w14:textId="77777777" w:rsidR="006D27C8" w:rsidRPr="006A6011" w:rsidRDefault="006D27C8" w:rsidP="000C06BF">
      <w:pPr>
        <w:pStyle w:val="ListParagraph"/>
        <w:numPr>
          <w:ilvl w:val="2"/>
          <w:numId w:val="2"/>
        </w:numPr>
        <w:spacing w:before="120" w:after="120" w:line="360" w:lineRule="auto"/>
        <w:ind w:left="1260" w:hanging="360"/>
        <w:contextualSpacing w:val="0"/>
        <w:jc w:val="both"/>
        <w:rPr>
          <w:sz w:val="24"/>
          <w:szCs w:val="24"/>
        </w:rPr>
      </w:pPr>
      <w:r w:rsidRPr="006A6011">
        <w:rPr>
          <w:sz w:val="24"/>
          <w:szCs w:val="24"/>
        </w:rPr>
        <w:t xml:space="preserve">Reports of lack of therapeutic efficacy in the case of vaccines, contraceptives, antibiotics, and medicines used in critical conditions or life-threatening conditions; </w:t>
      </w:r>
    </w:p>
    <w:p w14:paraId="3F6C383C" w14:textId="72E6ECB5" w:rsidR="006D27C8" w:rsidRPr="006A6011" w:rsidRDefault="006D27C8" w:rsidP="000C06BF">
      <w:pPr>
        <w:pStyle w:val="ListParagraph"/>
        <w:numPr>
          <w:ilvl w:val="2"/>
          <w:numId w:val="2"/>
        </w:numPr>
        <w:spacing w:before="120" w:after="120" w:line="360" w:lineRule="auto"/>
        <w:ind w:left="1260" w:hanging="360"/>
        <w:contextualSpacing w:val="0"/>
        <w:jc w:val="both"/>
        <w:rPr>
          <w:sz w:val="24"/>
          <w:szCs w:val="24"/>
        </w:rPr>
      </w:pPr>
      <w:r w:rsidRPr="006A6011">
        <w:rPr>
          <w:sz w:val="24"/>
          <w:szCs w:val="24"/>
        </w:rPr>
        <w:t>AEs with quality problems</w:t>
      </w:r>
      <w:r>
        <w:rPr>
          <w:sz w:val="24"/>
          <w:szCs w:val="24"/>
        </w:rPr>
        <w:t xml:space="preserve"> (substandar</w:t>
      </w:r>
      <w:r w:rsidR="006F5700">
        <w:rPr>
          <w:sz w:val="24"/>
          <w:szCs w:val="24"/>
        </w:rPr>
        <w:t>d</w:t>
      </w:r>
      <w:r>
        <w:rPr>
          <w:sz w:val="24"/>
          <w:szCs w:val="24"/>
        </w:rPr>
        <w:t xml:space="preserve"> and falsified)</w:t>
      </w:r>
      <w:r w:rsidRPr="006A6011">
        <w:rPr>
          <w:sz w:val="24"/>
          <w:szCs w:val="24"/>
        </w:rPr>
        <w:t>; and</w:t>
      </w:r>
    </w:p>
    <w:p w14:paraId="35B63F26" w14:textId="77777777" w:rsidR="006D27C8" w:rsidRPr="006A6011" w:rsidRDefault="006D27C8" w:rsidP="000C06BF">
      <w:pPr>
        <w:pStyle w:val="ListParagraph"/>
        <w:numPr>
          <w:ilvl w:val="2"/>
          <w:numId w:val="2"/>
        </w:numPr>
        <w:spacing w:before="120" w:after="120" w:line="360" w:lineRule="auto"/>
        <w:ind w:left="1260" w:hanging="360"/>
        <w:contextualSpacing w:val="0"/>
        <w:jc w:val="both"/>
        <w:rPr>
          <w:sz w:val="24"/>
          <w:szCs w:val="24"/>
        </w:rPr>
      </w:pPr>
      <w:r w:rsidRPr="006A6011">
        <w:rPr>
          <w:sz w:val="24"/>
          <w:szCs w:val="24"/>
        </w:rPr>
        <w:t xml:space="preserve">Reports that are associated with adverse outcomes as a result of an overdose, abuse, misuse, off-label use, occupational exposure and medication error of therapeutic goods. </w:t>
      </w:r>
    </w:p>
    <w:p w14:paraId="6FF48A20" w14:textId="2013D298" w:rsidR="00FC0B85" w:rsidRPr="00E90AF9" w:rsidRDefault="00FC0B85" w:rsidP="000C06BF">
      <w:pPr>
        <w:spacing w:before="120" w:after="120" w:line="360" w:lineRule="auto"/>
        <w:ind w:left="540"/>
        <w:jc w:val="both"/>
        <w:rPr>
          <w:bCs/>
          <w:sz w:val="24"/>
          <w:szCs w:val="24"/>
        </w:rPr>
      </w:pPr>
      <w:r w:rsidRPr="00E90AF9">
        <w:rPr>
          <w:bCs/>
          <w:sz w:val="24"/>
          <w:szCs w:val="24"/>
        </w:rPr>
        <w:t>Whereas, the products covered by the Pharmacovigilance Programme are therapeutic goods as per DRAP Act, 2012 and include the following:</w:t>
      </w:r>
    </w:p>
    <w:p w14:paraId="1363E750" w14:textId="77777777" w:rsidR="00FC0B85" w:rsidRPr="00E90AF9" w:rsidRDefault="00FC0B85" w:rsidP="00B551AA">
      <w:pPr>
        <w:widowControl/>
        <w:numPr>
          <w:ilvl w:val="0"/>
          <w:numId w:val="7"/>
        </w:numPr>
        <w:tabs>
          <w:tab w:val="clear" w:pos="720"/>
        </w:tabs>
        <w:spacing w:before="120" w:after="120" w:line="360" w:lineRule="auto"/>
        <w:ind w:left="1260"/>
        <w:jc w:val="both"/>
        <w:rPr>
          <w:bCs/>
          <w:sz w:val="24"/>
          <w:szCs w:val="24"/>
        </w:rPr>
      </w:pPr>
      <w:r w:rsidRPr="00E90AF9">
        <w:rPr>
          <w:bCs/>
          <w:sz w:val="24"/>
          <w:szCs w:val="24"/>
        </w:rPr>
        <w:t>Allopathic Medicines (Drugs</w:t>
      </w:r>
      <w:r>
        <w:rPr>
          <w:bCs/>
          <w:sz w:val="24"/>
          <w:szCs w:val="24"/>
        </w:rPr>
        <w:t>/Medicines</w:t>
      </w:r>
      <w:r w:rsidRPr="00E90AF9">
        <w:rPr>
          <w:bCs/>
          <w:sz w:val="24"/>
          <w:szCs w:val="24"/>
        </w:rPr>
        <w:t>);</w:t>
      </w:r>
    </w:p>
    <w:p w14:paraId="7AAD9AF0" w14:textId="77777777" w:rsidR="00FC0B85" w:rsidRPr="00E90AF9" w:rsidRDefault="00FC0B85" w:rsidP="00B551AA">
      <w:pPr>
        <w:widowControl/>
        <w:numPr>
          <w:ilvl w:val="0"/>
          <w:numId w:val="7"/>
        </w:numPr>
        <w:tabs>
          <w:tab w:val="clear" w:pos="720"/>
        </w:tabs>
        <w:spacing w:before="120" w:after="120" w:line="360" w:lineRule="auto"/>
        <w:ind w:left="1260"/>
        <w:jc w:val="both"/>
        <w:rPr>
          <w:bCs/>
          <w:sz w:val="24"/>
          <w:szCs w:val="24"/>
        </w:rPr>
      </w:pPr>
      <w:r w:rsidRPr="00E90AF9">
        <w:rPr>
          <w:bCs/>
          <w:sz w:val="24"/>
          <w:szCs w:val="24"/>
        </w:rPr>
        <w:t xml:space="preserve">Alternative Medicines (Ayurvedic, Chinese, Unani, Homeopathic and </w:t>
      </w:r>
      <w:proofErr w:type="spellStart"/>
      <w:r w:rsidRPr="00E90AF9">
        <w:rPr>
          <w:bCs/>
          <w:sz w:val="24"/>
          <w:szCs w:val="24"/>
        </w:rPr>
        <w:t>Biochemic</w:t>
      </w:r>
      <w:proofErr w:type="spellEnd"/>
      <w:r w:rsidRPr="00E90AF9">
        <w:rPr>
          <w:bCs/>
          <w:sz w:val="24"/>
          <w:szCs w:val="24"/>
        </w:rPr>
        <w:t xml:space="preserve"> system etc.);</w:t>
      </w:r>
    </w:p>
    <w:p w14:paraId="711DCFD6" w14:textId="77777777" w:rsidR="00FC0B85" w:rsidRPr="00E90AF9" w:rsidRDefault="00FC0B85" w:rsidP="00B551AA">
      <w:pPr>
        <w:widowControl/>
        <w:numPr>
          <w:ilvl w:val="0"/>
          <w:numId w:val="7"/>
        </w:numPr>
        <w:tabs>
          <w:tab w:val="clear" w:pos="720"/>
        </w:tabs>
        <w:spacing w:before="120" w:after="120" w:line="360" w:lineRule="auto"/>
        <w:ind w:left="1260"/>
        <w:jc w:val="both"/>
        <w:rPr>
          <w:bCs/>
          <w:sz w:val="24"/>
          <w:szCs w:val="24"/>
        </w:rPr>
      </w:pPr>
      <w:r w:rsidRPr="00E90AF9">
        <w:rPr>
          <w:bCs/>
          <w:sz w:val="24"/>
          <w:szCs w:val="24"/>
        </w:rPr>
        <w:t>OTC Product</w:t>
      </w:r>
      <w:r>
        <w:rPr>
          <w:bCs/>
          <w:sz w:val="24"/>
          <w:szCs w:val="24"/>
        </w:rPr>
        <w:t>s/ Health products (Nutraceuticals and others etc.)</w:t>
      </w:r>
      <w:r w:rsidRPr="00E90AF9">
        <w:rPr>
          <w:bCs/>
          <w:sz w:val="24"/>
          <w:szCs w:val="24"/>
        </w:rPr>
        <w:t>;</w:t>
      </w:r>
    </w:p>
    <w:p w14:paraId="1FBB3F41" w14:textId="77777777" w:rsidR="00FC0B85" w:rsidRPr="00E90AF9" w:rsidRDefault="00FC0B85" w:rsidP="00B551AA">
      <w:pPr>
        <w:widowControl/>
        <w:numPr>
          <w:ilvl w:val="0"/>
          <w:numId w:val="7"/>
        </w:numPr>
        <w:tabs>
          <w:tab w:val="clear" w:pos="720"/>
        </w:tabs>
        <w:spacing w:before="120" w:after="120" w:line="360" w:lineRule="auto"/>
        <w:ind w:left="1260"/>
        <w:jc w:val="both"/>
        <w:rPr>
          <w:bCs/>
          <w:sz w:val="24"/>
          <w:szCs w:val="24"/>
        </w:rPr>
      </w:pPr>
      <w:r w:rsidRPr="00E90AF9">
        <w:rPr>
          <w:bCs/>
          <w:sz w:val="24"/>
          <w:szCs w:val="24"/>
        </w:rPr>
        <w:t>Biologicals, Vaccines and other blood products.</w:t>
      </w:r>
    </w:p>
    <w:p w14:paraId="6D76537D" w14:textId="77777777" w:rsidR="00FC0B85" w:rsidRDefault="00FC0B85" w:rsidP="00B551AA">
      <w:pPr>
        <w:widowControl/>
        <w:numPr>
          <w:ilvl w:val="0"/>
          <w:numId w:val="7"/>
        </w:numPr>
        <w:tabs>
          <w:tab w:val="clear" w:pos="720"/>
        </w:tabs>
        <w:spacing w:before="120" w:after="120" w:line="360" w:lineRule="auto"/>
        <w:ind w:left="1260"/>
        <w:jc w:val="both"/>
        <w:rPr>
          <w:bCs/>
          <w:sz w:val="24"/>
          <w:szCs w:val="24"/>
        </w:rPr>
      </w:pPr>
      <w:r w:rsidRPr="00E90AF9">
        <w:rPr>
          <w:bCs/>
          <w:sz w:val="24"/>
          <w:szCs w:val="24"/>
        </w:rPr>
        <w:t>Medical Devices;</w:t>
      </w:r>
      <w:r>
        <w:rPr>
          <w:bCs/>
          <w:sz w:val="24"/>
          <w:szCs w:val="24"/>
        </w:rPr>
        <w:t xml:space="preserve"> and</w:t>
      </w:r>
    </w:p>
    <w:p w14:paraId="6F6DC90F" w14:textId="77777777" w:rsidR="00FC0B85" w:rsidRPr="00E90AF9" w:rsidRDefault="00FC0B85" w:rsidP="00B551AA">
      <w:pPr>
        <w:widowControl/>
        <w:numPr>
          <w:ilvl w:val="0"/>
          <w:numId w:val="7"/>
        </w:numPr>
        <w:tabs>
          <w:tab w:val="clear" w:pos="720"/>
        </w:tabs>
        <w:spacing w:before="120" w:after="120" w:line="360" w:lineRule="auto"/>
        <w:ind w:left="1260"/>
        <w:jc w:val="both"/>
        <w:rPr>
          <w:bCs/>
          <w:sz w:val="24"/>
          <w:szCs w:val="24"/>
        </w:rPr>
      </w:pPr>
      <w:r>
        <w:rPr>
          <w:bCs/>
          <w:sz w:val="24"/>
          <w:szCs w:val="24"/>
        </w:rPr>
        <w:t>Other related products as may be defined by Authority.</w:t>
      </w:r>
    </w:p>
    <w:p w14:paraId="61C73EF5" w14:textId="578DD9E0" w:rsidR="00FC0B85" w:rsidRPr="00272E6D" w:rsidRDefault="00987889" w:rsidP="000C06BF">
      <w:pPr>
        <w:spacing w:before="120" w:after="120" w:line="360" w:lineRule="auto"/>
        <w:rPr>
          <w:rStyle w:val="Heading2Char"/>
          <w:b w:val="0"/>
          <w:bCs/>
          <w:szCs w:val="28"/>
        </w:rPr>
      </w:pPr>
      <w:r w:rsidRPr="00272E6D">
        <w:rPr>
          <w:rFonts w:eastAsiaTheme="majorEastAsia"/>
          <w:b/>
          <w:bCs/>
          <w:sz w:val="28"/>
          <w:szCs w:val="28"/>
        </w:rPr>
        <w:t xml:space="preserve">1.5 </w:t>
      </w:r>
      <w:r w:rsidR="00FC0B85" w:rsidRPr="00272E6D">
        <w:rPr>
          <w:rFonts w:eastAsiaTheme="majorEastAsia"/>
          <w:b/>
          <w:bCs/>
          <w:sz w:val="28"/>
          <w:szCs w:val="28"/>
          <w:u w:val="single"/>
        </w:rPr>
        <w:t>Short</w:t>
      </w:r>
      <w:r w:rsidR="00831521">
        <w:rPr>
          <w:rFonts w:eastAsiaTheme="majorEastAsia"/>
          <w:b/>
          <w:bCs/>
          <w:sz w:val="28"/>
          <w:szCs w:val="28"/>
          <w:u w:val="single"/>
        </w:rPr>
        <w:t>-</w:t>
      </w:r>
      <w:r w:rsidR="00D95085" w:rsidRPr="00272E6D">
        <w:rPr>
          <w:rFonts w:eastAsiaTheme="majorEastAsia"/>
          <w:b/>
          <w:bCs/>
          <w:sz w:val="28"/>
          <w:szCs w:val="28"/>
          <w:u w:val="single"/>
        </w:rPr>
        <w:t>term goals</w:t>
      </w:r>
    </w:p>
    <w:p w14:paraId="33C7163F" w14:textId="04BAAAFB" w:rsidR="00FC0B85" w:rsidRPr="00E90AF9" w:rsidRDefault="00FC0B85" w:rsidP="00B551AA">
      <w:pPr>
        <w:widowControl/>
        <w:numPr>
          <w:ilvl w:val="1"/>
          <w:numId w:val="6"/>
        </w:numPr>
        <w:spacing w:before="120" w:after="120" w:line="360" w:lineRule="auto"/>
        <w:ind w:left="1260" w:hanging="360"/>
        <w:jc w:val="both"/>
        <w:rPr>
          <w:bCs/>
          <w:sz w:val="24"/>
          <w:szCs w:val="24"/>
        </w:rPr>
      </w:pPr>
      <w:r w:rsidRPr="00E90AF9">
        <w:rPr>
          <w:bCs/>
          <w:sz w:val="24"/>
          <w:szCs w:val="24"/>
        </w:rPr>
        <w:t xml:space="preserve">To </w:t>
      </w:r>
      <w:r>
        <w:rPr>
          <w:bCs/>
          <w:sz w:val="24"/>
          <w:szCs w:val="24"/>
        </w:rPr>
        <w:t>strengthen</w:t>
      </w:r>
      <w:r w:rsidRPr="00E90AF9">
        <w:rPr>
          <w:bCs/>
          <w:sz w:val="24"/>
          <w:szCs w:val="24"/>
        </w:rPr>
        <w:t xml:space="preserve"> the National </w:t>
      </w:r>
      <w:r w:rsidR="00576BFA" w:rsidRPr="00E90AF9">
        <w:rPr>
          <w:bCs/>
          <w:sz w:val="24"/>
          <w:szCs w:val="24"/>
        </w:rPr>
        <w:t xml:space="preserve">pharmacovigilance </w:t>
      </w:r>
      <w:r w:rsidR="00831521">
        <w:rPr>
          <w:bCs/>
          <w:sz w:val="24"/>
          <w:szCs w:val="24"/>
        </w:rPr>
        <w:t>C</w:t>
      </w:r>
      <w:r w:rsidR="00576BFA" w:rsidRPr="00E90AF9">
        <w:rPr>
          <w:bCs/>
          <w:sz w:val="24"/>
          <w:szCs w:val="24"/>
        </w:rPr>
        <w:t xml:space="preserve">entre </w:t>
      </w:r>
      <w:r w:rsidRPr="00E90AF9">
        <w:rPr>
          <w:bCs/>
          <w:sz w:val="24"/>
          <w:szCs w:val="24"/>
        </w:rPr>
        <w:t>(NPC) at DRAP, Islamabad;</w:t>
      </w:r>
    </w:p>
    <w:p w14:paraId="77AD2F2C" w14:textId="29FB455B" w:rsidR="00FC0B85" w:rsidRPr="00E90AF9" w:rsidRDefault="00FC0B85" w:rsidP="00B551AA">
      <w:pPr>
        <w:widowControl/>
        <w:numPr>
          <w:ilvl w:val="1"/>
          <w:numId w:val="6"/>
        </w:numPr>
        <w:spacing w:before="120" w:after="120" w:line="360" w:lineRule="auto"/>
        <w:ind w:left="1260" w:hanging="360"/>
        <w:jc w:val="both"/>
        <w:rPr>
          <w:bCs/>
          <w:sz w:val="24"/>
          <w:szCs w:val="24"/>
        </w:rPr>
      </w:pPr>
      <w:r w:rsidRPr="00E90AF9">
        <w:rPr>
          <w:bCs/>
          <w:sz w:val="24"/>
          <w:szCs w:val="24"/>
        </w:rPr>
        <w:t xml:space="preserve">To </w:t>
      </w:r>
      <w:r>
        <w:rPr>
          <w:bCs/>
          <w:sz w:val="24"/>
          <w:szCs w:val="24"/>
        </w:rPr>
        <w:t>coordinate with</w:t>
      </w:r>
      <w:r w:rsidRPr="00E90AF9">
        <w:rPr>
          <w:bCs/>
          <w:sz w:val="24"/>
          <w:szCs w:val="24"/>
        </w:rPr>
        <w:t xml:space="preserve"> </w:t>
      </w:r>
      <w:r w:rsidR="001A1F17" w:rsidRPr="00E90AF9">
        <w:rPr>
          <w:bCs/>
          <w:sz w:val="24"/>
          <w:szCs w:val="24"/>
        </w:rPr>
        <w:t>Provincial</w:t>
      </w:r>
      <w:r w:rsidR="001A1F17">
        <w:rPr>
          <w:bCs/>
          <w:sz w:val="24"/>
          <w:szCs w:val="24"/>
        </w:rPr>
        <w:t xml:space="preserve"> Health Departments </w:t>
      </w:r>
      <w:r>
        <w:rPr>
          <w:bCs/>
          <w:sz w:val="24"/>
          <w:szCs w:val="24"/>
        </w:rPr>
        <w:t xml:space="preserve">for </w:t>
      </w:r>
      <w:r w:rsidR="006F5700">
        <w:rPr>
          <w:bCs/>
          <w:sz w:val="24"/>
          <w:szCs w:val="24"/>
        </w:rPr>
        <w:t xml:space="preserve">the </w:t>
      </w:r>
      <w:r>
        <w:rPr>
          <w:bCs/>
          <w:sz w:val="24"/>
          <w:szCs w:val="24"/>
        </w:rPr>
        <w:t>establishment of their Provincial Pharmacovigilance Centres (PPCs);</w:t>
      </w:r>
    </w:p>
    <w:p w14:paraId="49F7A558" w14:textId="07221A4C" w:rsidR="00FC0B85" w:rsidRDefault="00FC0B85" w:rsidP="00B551AA">
      <w:pPr>
        <w:widowControl/>
        <w:numPr>
          <w:ilvl w:val="1"/>
          <w:numId w:val="6"/>
        </w:numPr>
        <w:spacing w:before="120" w:after="120" w:line="360" w:lineRule="auto"/>
        <w:ind w:left="1260" w:hanging="360"/>
        <w:jc w:val="both"/>
        <w:rPr>
          <w:bCs/>
          <w:sz w:val="24"/>
          <w:szCs w:val="24"/>
        </w:rPr>
      </w:pPr>
      <w:r w:rsidRPr="00E90AF9">
        <w:rPr>
          <w:bCs/>
          <w:sz w:val="24"/>
          <w:szCs w:val="24"/>
        </w:rPr>
        <w:t xml:space="preserve">To nominate </w:t>
      </w:r>
      <w:r w:rsidR="00AE1FE3">
        <w:rPr>
          <w:bCs/>
          <w:sz w:val="24"/>
          <w:szCs w:val="24"/>
        </w:rPr>
        <w:t xml:space="preserve">Pharmacovigilance </w:t>
      </w:r>
      <w:r>
        <w:rPr>
          <w:bCs/>
          <w:sz w:val="24"/>
          <w:szCs w:val="24"/>
        </w:rPr>
        <w:t>officers at NPC;</w:t>
      </w:r>
    </w:p>
    <w:p w14:paraId="3C8EEC46" w14:textId="3B3F2CA5" w:rsidR="00FC0B85" w:rsidRPr="00E90AF9" w:rsidRDefault="00FC0B85" w:rsidP="00B551AA">
      <w:pPr>
        <w:widowControl/>
        <w:numPr>
          <w:ilvl w:val="1"/>
          <w:numId w:val="6"/>
        </w:numPr>
        <w:spacing w:before="120" w:after="120" w:line="360" w:lineRule="auto"/>
        <w:ind w:left="1260" w:hanging="360"/>
        <w:jc w:val="both"/>
        <w:rPr>
          <w:bCs/>
          <w:sz w:val="24"/>
          <w:szCs w:val="24"/>
        </w:rPr>
      </w:pPr>
      <w:r>
        <w:rPr>
          <w:bCs/>
          <w:sz w:val="24"/>
          <w:szCs w:val="24"/>
        </w:rPr>
        <w:t xml:space="preserve">Coordinate with Provincial Health Departments for </w:t>
      </w:r>
      <w:r w:rsidR="006F5700">
        <w:rPr>
          <w:bCs/>
          <w:sz w:val="24"/>
          <w:szCs w:val="24"/>
        </w:rPr>
        <w:t xml:space="preserve">the </w:t>
      </w:r>
      <w:r>
        <w:rPr>
          <w:bCs/>
          <w:sz w:val="24"/>
          <w:szCs w:val="24"/>
        </w:rPr>
        <w:t xml:space="preserve">nomination of their </w:t>
      </w:r>
      <w:r w:rsidRPr="00E90AF9">
        <w:rPr>
          <w:bCs/>
          <w:sz w:val="24"/>
          <w:szCs w:val="24"/>
        </w:rPr>
        <w:t xml:space="preserve">Focal Persons/ </w:t>
      </w:r>
      <w:proofErr w:type="spellStart"/>
      <w:r w:rsidRPr="00E90AF9">
        <w:rPr>
          <w:bCs/>
          <w:sz w:val="24"/>
          <w:szCs w:val="24"/>
        </w:rPr>
        <w:t>Inchar</w:t>
      </w:r>
      <w:r>
        <w:rPr>
          <w:bCs/>
          <w:sz w:val="24"/>
          <w:szCs w:val="24"/>
        </w:rPr>
        <w:t>ge</w:t>
      </w:r>
      <w:proofErr w:type="spellEnd"/>
      <w:r>
        <w:rPr>
          <w:bCs/>
          <w:sz w:val="24"/>
          <w:szCs w:val="24"/>
        </w:rPr>
        <w:t xml:space="preserve"> Provincial Pharmacovigilance </w:t>
      </w:r>
      <w:r w:rsidRPr="00E90AF9">
        <w:rPr>
          <w:bCs/>
          <w:sz w:val="24"/>
          <w:szCs w:val="24"/>
        </w:rPr>
        <w:t>Centres;</w:t>
      </w:r>
    </w:p>
    <w:p w14:paraId="520B01F6" w14:textId="0939EC01" w:rsidR="00FC0B85" w:rsidRPr="00E90AF9" w:rsidRDefault="00FC0B85" w:rsidP="00B551AA">
      <w:pPr>
        <w:widowControl/>
        <w:numPr>
          <w:ilvl w:val="1"/>
          <w:numId w:val="6"/>
        </w:numPr>
        <w:spacing w:before="120" w:after="120" w:line="360" w:lineRule="auto"/>
        <w:ind w:left="1260" w:hanging="360"/>
        <w:jc w:val="both"/>
        <w:rPr>
          <w:bCs/>
          <w:sz w:val="24"/>
          <w:szCs w:val="24"/>
        </w:rPr>
      </w:pPr>
      <w:r w:rsidRPr="00E90AF9">
        <w:rPr>
          <w:bCs/>
          <w:sz w:val="24"/>
          <w:szCs w:val="24"/>
        </w:rPr>
        <w:lastRenderedPageBreak/>
        <w:t xml:space="preserve">To constitute Pharmacovigilance Risk Assessment Expert Committee (PRAEC) at </w:t>
      </w:r>
      <w:r w:rsidR="006F5700">
        <w:rPr>
          <w:bCs/>
          <w:sz w:val="24"/>
          <w:szCs w:val="24"/>
        </w:rPr>
        <w:t xml:space="preserve">the </w:t>
      </w:r>
      <w:r w:rsidRPr="00E90AF9">
        <w:rPr>
          <w:bCs/>
          <w:sz w:val="24"/>
          <w:szCs w:val="24"/>
        </w:rPr>
        <w:t>National level and</w:t>
      </w:r>
      <w:r>
        <w:rPr>
          <w:bCs/>
          <w:sz w:val="24"/>
          <w:szCs w:val="24"/>
        </w:rPr>
        <w:t xml:space="preserve"> coordinate with Provincial Centres for </w:t>
      </w:r>
      <w:r w:rsidR="006F5700">
        <w:rPr>
          <w:bCs/>
          <w:sz w:val="24"/>
          <w:szCs w:val="24"/>
        </w:rPr>
        <w:t xml:space="preserve">the </w:t>
      </w:r>
      <w:r>
        <w:rPr>
          <w:bCs/>
          <w:sz w:val="24"/>
          <w:szCs w:val="24"/>
        </w:rPr>
        <w:t xml:space="preserve">constitution of </w:t>
      </w:r>
      <w:proofErr w:type="gramStart"/>
      <w:r>
        <w:rPr>
          <w:bCs/>
          <w:sz w:val="24"/>
          <w:szCs w:val="24"/>
        </w:rPr>
        <w:t xml:space="preserve">their </w:t>
      </w:r>
      <w:r w:rsidRPr="00E90AF9">
        <w:rPr>
          <w:bCs/>
          <w:sz w:val="24"/>
          <w:szCs w:val="24"/>
        </w:rPr>
        <w:t xml:space="preserve"> Provincial</w:t>
      </w:r>
      <w:proofErr w:type="gramEnd"/>
      <w:r w:rsidRPr="00E90AF9">
        <w:rPr>
          <w:bCs/>
          <w:sz w:val="24"/>
          <w:szCs w:val="24"/>
        </w:rPr>
        <w:t xml:space="preserve"> Pharmacovigilance Committee</w:t>
      </w:r>
      <w:r>
        <w:rPr>
          <w:bCs/>
          <w:sz w:val="24"/>
          <w:szCs w:val="24"/>
        </w:rPr>
        <w:t>s</w:t>
      </w:r>
      <w:r w:rsidRPr="00E90AF9">
        <w:rPr>
          <w:bCs/>
          <w:sz w:val="24"/>
          <w:szCs w:val="24"/>
        </w:rPr>
        <w:t>;</w:t>
      </w:r>
    </w:p>
    <w:p w14:paraId="0B570D9E" w14:textId="361CF21B" w:rsidR="00FC0B85" w:rsidRPr="00E90AF9" w:rsidRDefault="00FC0B85" w:rsidP="00B551AA">
      <w:pPr>
        <w:widowControl/>
        <w:numPr>
          <w:ilvl w:val="1"/>
          <w:numId w:val="6"/>
        </w:numPr>
        <w:spacing w:before="120" w:after="120" w:line="360" w:lineRule="auto"/>
        <w:ind w:left="1260" w:hanging="360"/>
        <w:jc w:val="both"/>
        <w:rPr>
          <w:bCs/>
          <w:sz w:val="24"/>
          <w:szCs w:val="24"/>
        </w:rPr>
      </w:pPr>
      <w:r w:rsidRPr="00E90AF9">
        <w:rPr>
          <w:bCs/>
          <w:sz w:val="24"/>
          <w:szCs w:val="24"/>
        </w:rPr>
        <w:t>Encourage HCPs</w:t>
      </w:r>
      <w:r w:rsidR="00200A76">
        <w:rPr>
          <w:bCs/>
          <w:sz w:val="24"/>
          <w:szCs w:val="24"/>
        </w:rPr>
        <w:t xml:space="preserve"> for</w:t>
      </w:r>
      <w:r w:rsidRPr="00E90AF9">
        <w:rPr>
          <w:bCs/>
          <w:sz w:val="24"/>
          <w:szCs w:val="24"/>
        </w:rPr>
        <w:t xml:space="preserve"> reporting </w:t>
      </w:r>
      <w:proofErr w:type="gramStart"/>
      <w:r w:rsidRPr="00E90AF9">
        <w:rPr>
          <w:bCs/>
          <w:sz w:val="24"/>
          <w:szCs w:val="24"/>
        </w:rPr>
        <w:t>of  AEs</w:t>
      </w:r>
      <w:proofErr w:type="gramEnd"/>
      <w:r w:rsidR="00200A76">
        <w:rPr>
          <w:bCs/>
          <w:sz w:val="24"/>
          <w:szCs w:val="24"/>
        </w:rPr>
        <w:t xml:space="preserve">, </w:t>
      </w:r>
      <w:r w:rsidRPr="00E90AF9">
        <w:rPr>
          <w:bCs/>
          <w:sz w:val="24"/>
          <w:szCs w:val="24"/>
        </w:rPr>
        <w:t>ADRs</w:t>
      </w:r>
      <w:r w:rsidR="00200A76">
        <w:rPr>
          <w:bCs/>
          <w:sz w:val="24"/>
          <w:szCs w:val="24"/>
        </w:rPr>
        <w:t xml:space="preserve"> and AEFIs</w:t>
      </w:r>
      <w:r w:rsidRPr="00E90AF9">
        <w:rPr>
          <w:bCs/>
          <w:sz w:val="24"/>
          <w:szCs w:val="24"/>
        </w:rPr>
        <w:t>; and</w:t>
      </w:r>
    </w:p>
    <w:p w14:paraId="25B2124F" w14:textId="45827D8D" w:rsidR="00FC0B85" w:rsidRPr="00E90AF9" w:rsidRDefault="00FC0B85" w:rsidP="00B551AA">
      <w:pPr>
        <w:widowControl/>
        <w:numPr>
          <w:ilvl w:val="1"/>
          <w:numId w:val="6"/>
        </w:numPr>
        <w:spacing w:before="120" w:after="120" w:line="360" w:lineRule="auto"/>
        <w:ind w:left="1260" w:hanging="360"/>
        <w:jc w:val="both"/>
        <w:rPr>
          <w:bCs/>
          <w:sz w:val="24"/>
          <w:szCs w:val="24"/>
        </w:rPr>
      </w:pPr>
      <w:r w:rsidRPr="00E90AF9">
        <w:rPr>
          <w:bCs/>
          <w:sz w:val="24"/>
          <w:szCs w:val="24"/>
        </w:rPr>
        <w:t>Integrat</w:t>
      </w:r>
      <w:r>
        <w:rPr>
          <w:bCs/>
          <w:sz w:val="24"/>
          <w:szCs w:val="24"/>
        </w:rPr>
        <w:t xml:space="preserve">e </w:t>
      </w:r>
      <w:r w:rsidRPr="00E90AF9">
        <w:rPr>
          <w:bCs/>
          <w:sz w:val="24"/>
          <w:szCs w:val="24"/>
        </w:rPr>
        <w:t xml:space="preserve">Provincial Centres into </w:t>
      </w:r>
      <w:r w:rsidR="006F5700">
        <w:rPr>
          <w:bCs/>
          <w:sz w:val="24"/>
          <w:szCs w:val="24"/>
        </w:rPr>
        <w:t xml:space="preserve">the </w:t>
      </w:r>
      <w:r w:rsidRPr="00E90AF9">
        <w:rPr>
          <w:bCs/>
          <w:sz w:val="24"/>
          <w:szCs w:val="24"/>
        </w:rPr>
        <w:t>National database.</w:t>
      </w:r>
    </w:p>
    <w:p w14:paraId="3B75251C" w14:textId="4442DD26" w:rsidR="00FC0B85" w:rsidRPr="00272E6D" w:rsidRDefault="00987889" w:rsidP="000C06BF">
      <w:pPr>
        <w:spacing w:before="120" w:after="120" w:line="360" w:lineRule="auto"/>
        <w:rPr>
          <w:rFonts w:eastAsiaTheme="majorEastAsia"/>
          <w:b/>
          <w:sz w:val="28"/>
          <w:szCs w:val="28"/>
        </w:rPr>
      </w:pPr>
      <w:r w:rsidRPr="00272E6D">
        <w:rPr>
          <w:rFonts w:eastAsiaTheme="majorEastAsia"/>
          <w:b/>
          <w:sz w:val="28"/>
          <w:szCs w:val="28"/>
        </w:rPr>
        <w:t xml:space="preserve">1.6 </w:t>
      </w:r>
      <w:r w:rsidR="00FC0B85" w:rsidRPr="00272E6D">
        <w:rPr>
          <w:rFonts w:eastAsiaTheme="majorEastAsia"/>
          <w:b/>
          <w:sz w:val="28"/>
          <w:szCs w:val="28"/>
          <w:u w:val="single"/>
        </w:rPr>
        <w:t>Medium</w:t>
      </w:r>
      <w:r w:rsidR="006F5700" w:rsidRPr="00272E6D">
        <w:rPr>
          <w:rFonts w:eastAsiaTheme="majorEastAsia"/>
          <w:b/>
          <w:sz w:val="28"/>
          <w:szCs w:val="28"/>
          <w:u w:val="single"/>
        </w:rPr>
        <w:t>-</w:t>
      </w:r>
      <w:r w:rsidR="00AE1FE3" w:rsidRPr="00272E6D">
        <w:rPr>
          <w:rFonts w:eastAsiaTheme="majorEastAsia"/>
          <w:b/>
          <w:sz w:val="28"/>
          <w:szCs w:val="28"/>
          <w:u w:val="single"/>
        </w:rPr>
        <w:t>term goals</w:t>
      </w:r>
    </w:p>
    <w:p w14:paraId="181D76CB" w14:textId="4F4774E1"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Pr>
          <w:bCs/>
          <w:sz w:val="24"/>
          <w:szCs w:val="24"/>
        </w:rPr>
        <w:t xml:space="preserve">To coordinate with Provincial Pharmacovigilance Centres for </w:t>
      </w:r>
      <w:r w:rsidR="006F5700">
        <w:rPr>
          <w:bCs/>
          <w:sz w:val="24"/>
          <w:szCs w:val="24"/>
        </w:rPr>
        <w:t xml:space="preserve">the </w:t>
      </w:r>
      <w:r>
        <w:rPr>
          <w:bCs/>
          <w:sz w:val="24"/>
          <w:szCs w:val="24"/>
        </w:rPr>
        <w:t>establishment of their</w:t>
      </w:r>
      <w:r w:rsidRPr="00E90AF9">
        <w:rPr>
          <w:bCs/>
          <w:sz w:val="24"/>
          <w:szCs w:val="24"/>
        </w:rPr>
        <w:t xml:space="preserve"> </w:t>
      </w:r>
      <w:r w:rsidR="00200A76">
        <w:rPr>
          <w:bCs/>
          <w:sz w:val="24"/>
          <w:szCs w:val="24"/>
        </w:rPr>
        <w:t>hospital pharmacovigilance centres</w:t>
      </w:r>
      <w:r w:rsidRPr="00E90AF9">
        <w:rPr>
          <w:bCs/>
          <w:sz w:val="24"/>
          <w:szCs w:val="24"/>
        </w:rPr>
        <w:t>;</w:t>
      </w:r>
    </w:p>
    <w:p w14:paraId="3D63187F" w14:textId="108D49B1"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sidRPr="00E90AF9">
        <w:rPr>
          <w:bCs/>
          <w:sz w:val="24"/>
          <w:szCs w:val="24"/>
        </w:rPr>
        <w:t xml:space="preserve">To </w:t>
      </w:r>
      <w:r>
        <w:rPr>
          <w:bCs/>
          <w:sz w:val="24"/>
          <w:szCs w:val="24"/>
        </w:rPr>
        <w:t>coordinate with</w:t>
      </w:r>
      <w:r w:rsidRPr="00E90AF9">
        <w:rPr>
          <w:bCs/>
          <w:sz w:val="24"/>
          <w:szCs w:val="24"/>
        </w:rPr>
        <w:t xml:space="preserve"> </w:t>
      </w:r>
      <w:r w:rsidR="00EE7286" w:rsidRPr="00E90AF9">
        <w:rPr>
          <w:bCs/>
          <w:sz w:val="24"/>
          <w:szCs w:val="24"/>
        </w:rPr>
        <w:t>Public Health Programmes</w:t>
      </w:r>
      <w:r w:rsidR="00EE7286">
        <w:rPr>
          <w:bCs/>
          <w:sz w:val="24"/>
          <w:szCs w:val="24"/>
        </w:rPr>
        <w:t xml:space="preserve"> </w:t>
      </w:r>
      <w:r>
        <w:rPr>
          <w:bCs/>
          <w:sz w:val="24"/>
          <w:szCs w:val="24"/>
        </w:rPr>
        <w:t xml:space="preserve">for </w:t>
      </w:r>
      <w:r w:rsidR="006F5700">
        <w:rPr>
          <w:bCs/>
          <w:sz w:val="24"/>
          <w:szCs w:val="24"/>
        </w:rPr>
        <w:t xml:space="preserve">the </w:t>
      </w:r>
      <w:r>
        <w:rPr>
          <w:bCs/>
          <w:sz w:val="24"/>
          <w:szCs w:val="24"/>
        </w:rPr>
        <w:t xml:space="preserve">establishment of their </w:t>
      </w:r>
      <w:r w:rsidR="00AC1E6A">
        <w:rPr>
          <w:bCs/>
          <w:sz w:val="24"/>
          <w:szCs w:val="24"/>
        </w:rPr>
        <w:t xml:space="preserve">pharmacovigilance </w:t>
      </w:r>
      <w:r>
        <w:rPr>
          <w:bCs/>
          <w:sz w:val="24"/>
          <w:szCs w:val="24"/>
        </w:rPr>
        <w:t>centres</w:t>
      </w:r>
      <w:r w:rsidRPr="00E90AF9">
        <w:rPr>
          <w:bCs/>
          <w:sz w:val="24"/>
          <w:szCs w:val="24"/>
        </w:rPr>
        <w:t>;</w:t>
      </w:r>
    </w:p>
    <w:p w14:paraId="1DAF964F" w14:textId="083E052D"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Pr>
          <w:bCs/>
          <w:sz w:val="24"/>
          <w:szCs w:val="24"/>
        </w:rPr>
        <w:t xml:space="preserve">To coordinate with PHPs and </w:t>
      </w:r>
      <w:proofErr w:type="gramStart"/>
      <w:r>
        <w:rPr>
          <w:bCs/>
          <w:sz w:val="24"/>
          <w:szCs w:val="24"/>
        </w:rPr>
        <w:t>PPCs</w:t>
      </w:r>
      <w:r w:rsidRPr="00E90AF9">
        <w:rPr>
          <w:bCs/>
          <w:sz w:val="24"/>
          <w:szCs w:val="24"/>
        </w:rPr>
        <w:t xml:space="preserve"> </w:t>
      </w:r>
      <w:r>
        <w:rPr>
          <w:bCs/>
          <w:sz w:val="24"/>
          <w:szCs w:val="24"/>
        </w:rPr>
        <w:t xml:space="preserve"> for</w:t>
      </w:r>
      <w:proofErr w:type="gramEnd"/>
      <w:r>
        <w:rPr>
          <w:bCs/>
          <w:sz w:val="24"/>
          <w:szCs w:val="24"/>
        </w:rPr>
        <w:t xml:space="preserve"> </w:t>
      </w:r>
      <w:r w:rsidR="00831521">
        <w:rPr>
          <w:bCs/>
          <w:sz w:val="24"/>
          <w:szCs w:val="24"/>
        </w:rPr>
        <w:t xml:space="preserve">the </w:t>
      </w:r>
      <w:r>
        <w:rPr>
          <w:bCs/>
          <w:sz w:val="24"/>
          <w:szCs w:val="24"/>
        </w:rPr>
        <w:t xml:space="preserve">nomination of  </w:t>
      </w:r>
      <w:r w:rsidRPr="00E90AF9">
        <w:rPr>
          <w:bCs/>
          <w:sz w:val="24"/>
          <w:szCs w:val="24"/>
        </w:rPr>
        <w:t xml:space="preserve">Focal Persons at the level of </w:t>
      </w:r>
      <w:r>
        <w:rPr>
          <w:bCs/>
          <w:sz w:val="24"/>
          <w:szCs w:val="24"/>
        </w:rPr>
        <w:t>Hospitals</w:t>
      </w:r>
      <w:r w:rsidR="00200A76">
        <w:rPr>
          <w:bCs/>
          <w:sz w:val="24"/>
          <w:szCs w:val="24"/>
        </w:rPr>
        <w:t xml:space="preserve"> </w:t>
      </w:r>
      <w:r w:rsidRPr="00E90AF9">
        <w:rPr>
          <w:bCs/>
          <w:sz w:val="24"/>
          <w:szCs w:val="24"/>
        </w:rPr>
        <w:t>Pharmacovigilance Centres and Public Health Programmes;</w:t>
      </w:r>
    </w:p>
    <w:p w14:paraId="742603D4" w14:textId="057F2BD3"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Pr>
          <w:bCs/>
          <w:sz w:val="24"/>
          <w:szCs w:val="24"/>
        </w:rPr>
        <w:t xml:space="preserve">Coordinate with Provincial Pharmacovigilance Centres for </w:t>
      </w:r>
      <w:r w:rsidR="006F5700">
        <w:rPr>
          <w:bCs/>
          <w:sz w:val="24"/>
          <w:szCs w:val="24"/>
        </w:rPr>
        <w:t xml:space="preserve">the </w:t>
      </w:r>
      <w:r w:rsidRPr="00E90AF9">
        <w:rPr>
          <w:bCs/>
          <w:sz w:val="24"/>
          <w:szCs w:val="24"/>
        </w:rPr>
        <w:t xml:space="preserve">constitution of </w:t>
      </w:r>
      <w:r w:rsidR="00CB20D4" w:rsidRPr="00E90AF9">
        <w:rPr>
          <w:bCs/>
          <w:sz w:val="24"/>
          <w:szCs w:val="24"/>
        </w:rPr>
        <w:t>Pharmacovigilance Committ</w:t>
      </w:r>
      <w:r w:rsidR="00CB20D4">
        <w:rPr>
          <w:bCs/>
          <w:sz w:val="24"/>
          <w:szCs w:val="24"/>
        </w:rPr>
        <w:t xml:space="preserve">ees </w:t>
      </w:r>
      <w:r>
        <w:rPr>
          <w:bCs/>
          <w:sz w:val="24"/>
          <w:szCs w:val="24"/>
        </w:rPr>
        <w:t>at the level of hospitals</w:t>
      </w:r>
      <w:r w:rsidRPr="00E90AF9">
        <w:rPr>
          <w:bCs/>
          <w:sz w:val="24"/>
          <w:szCs w:val="24"/>
        </w:rPr>
        <w:t>;</w:t>
      </w:r>
    </w:p>
    <w:p w14:paraId="716DBF85" w14:textId="3E279D98"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Pr>
          <w:bCs/>
          <w:sz w:val="24"/>
          <w:szCs w:val="24"/>
        </w:rPr>
        <w:t xml:space="preserve">Coordinate with PHPs for </w:t>
      </w:r>
      <w:r w:rsidR="006F5700">
        <w:rPr>
          <w:bCs/>
          <w:sz w:val="24"/>
          <w:szCs w:val="24"/>
        </w:rPr>
        <w:t xml:space="preserve">the </w:t>
      </w:r>
      <w:r w:rsidRPr="00E90AF9">
        <w:rPr>
          <w:bCs/>
          <w:sz w:val="24"/>
          <w:szCs w:val="24"/>
        </w:rPr>
        <w:t xml:space="preserve">constitution </w:t>
      </w:r>
      <w:r>
        <w:rPr>
          <w:bCs/>
          <w:sz w:val="24"/>
          <w:szCs w:val="24"/>
        </w:rPr>
        <w:t xml:space="preserve">of </w:t>
      </w:r>
      <w:r w:rsidR="006F5700">
        <w:rPr>
          <w:bCs/>
          <w:sz w:val="24"/>
          <w:szCs w:val="24"/>
        </w:rPr>
        <w:t xml:space="preserve">the </w:t>
      </w:r>
      <w:r>
        <w:rPr>
          <w:bCs/>
          <w:sz w:val="24"/>
          <w:szCs w:val="24"/>
        </w:rPr>
        <w:t>Expert Safety Review Panel</w:t>
      </w:r>
      <w:r w:rsidR="00CD2A16">
        <w:rPr>
          <w:bCs/>
          <w:sz w:val="24"/>
          <w:szCs w:val="24"/>
        </w:rPr>
        <w:t xml:space="preserve"> (ESRP)</w:t>
      </w:r>
      <w:r>
        <w:rPr>
          <w:bCs/>
          <w:sz w:val="24"/>
          <w:szCs w:val="24"/>
        </w:rPr>
        <w:t xml:space="preserve"> </w:t>
      </w:r>
      <w:r w:rsidRPr="00E90AF9">
        <w:rPr>
          <w:bCs/>
          <w:sz w:val="24"/>
          <w:szCs w:val="24"/>
        </w:rPr>
        <w:t>at the level of each public health programme;</w:t>
      </w:r>
    </w:p>
    <w:p w14:paraId="1A59338D" w14:textId="77777777"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proofErr w:type="gramStart"/>
      <w:r>
        <w:rPr>
          <w:bCs/>
          <w:sz w:val="24"/>
          <w:szCs w:val="24"/>
        </w:rPr>
        <w:t>Collection,  analysis</w:t>
      </w:r>
      <w:proofErr w:type="gramEnd"/>
      <w:r w:rsidRPr="00E90AF9">
        <w:rPr>
          <w:bCs/>
          <w:sz w:val="24"/>
          <w:szCs w:val="24"/>
        </w:rPr>
        <w:t xml:space="preserve">, data entry </w:t>
      </w:r>
      <w:r>
        <w:rPr>
          <w:bCs/>
          <w:sz w:val="24"/>
          <w:szCs w:val="24"/>
        </w:rPr>
        <w:t>and causality assessment of collected data</w:t>
      </w:r>
      <w:r w:rsidRPr="00E90AF9">
        <w:rPr>
          <w:bCs/>
          <w:sz w:val="24"/>
          <w:szCs w:val="24"/>
        </w:rPr>
        <w:t>;</w:t>
      </w:r>
    </w:p>
    <w:p w14:paraId="6B1B60CB" w14:textId="78514883"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sidRPr="00E90AF9">
        <w:rPr>
          <w:bCs/>
          <w:sz w:val="24"/>
          <w:szCs w:val="24"/>
        </w:rPr>
        <w:t xml:space="preserve">Integration of </w:t>
      </w:r>
      <w:r w:rsidR="00CB20D4" w:rsidRPr="00E90AF9">
        <w:rPr>
          <w:bCs/>
          <w:sz w:val="24"/>
          <w:szCs w:val="24"/>
        </w:rPr>
        <w:t xml:space="preserve">Public Health Programmes </w:t>
      </w:r>
      <w:r w:rsidRPr="00E90AF9">
        <w:rPr>
          <w:bCs/>
          <w:sz w:val="24"/>
          <w:szCs w:val="24"/>
        </w:rPr>
        <w:t xml:space="preserve">in </w:t>
      </w:r>
      <w:r w:rsidR="006F5700">
        <w:rPr>
          <w:bCs/>
          <w:sz w:val="24"/>
          <w:szCs w:val="24"/>
        </w:rPr>
        <w:t xml:space="preserve">the </w:t>
      </w:r>
      <w:r w:rsidRPr="00E90AF9">
        <w:rPr>
          <w:bCs/>
          <w:sz w:val="24"/>
          <w:szCs w:val="24"/>
        </w:rPr>
        <w:t>National database; and</w:t>
      </w:r>
    </w:p>
    <w:p w14:paraId="145D2AE8" w14:textId="31F4495D"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sidRPr="00E90AF9">
        <w:rPr>
          <w:bCs/>
          <w:sz w:val="24"/>
          <w:szCs w:val="24"/>
        </w:rPr>
        <w:t xml:space="preserve">Integration of </w:t>
      </w:r>
      <w:r w:rsidR="00CB20D4" w:rsidRPr="00E90AF9">
        <w:rPr>
          <w:bCs/>
          <w:sz w:val="24"/>
          <w:szCs w:val="24"/>
        </w:rPr>
        <w:t xml:space="preserve">Hospital </w:t>
      </w:r>
      <w:r w:rsidR="00CB20D4">
        <w:rPr>
          <w:bCs/>
          <w:sz w:val="24"/>
          <w:szCs w:val="24"/>
        </w:rPr>
        <w:t xml:space="preserve">Pharmacovigilance Centres </w:t>
      </w:r>
      <w:r>
        <w:rPr>
          <w:bCs/>
          <w:sz w:val="24"/>
          <w:szCs w:val="24"/>
        </w:rPr>
        <w:t xml:space="preserve">in </w:t>
      </w:r>
      <w:r w:rsidR="006F5700">
        <w:rPr>
          <w:bCs/>
          <w:sz w:val="24"/>
          <w:szCs w:val="24"/>
        </w:rPr>
        <w:t xml:space="preserve">the </w:t>
      </w:r>
      <w:r>
        <w:rPr>
          <w:bCs/>
          <w:sz w:val="24"/>
          <w:szCs w:val="24"/>
        </w:rPr>
        <w:t xml:space="preserve">National </w:t>
      </w:r>
      <w:r w:rsidRPr="00E90AF9">
        <w:rPr>
          <w:bCs/>
          <w:sz w:val="24"/>
          <w:szCs w:val="24"/>
        </w:rPr>
        <w:t>database.</w:t>
      </w:r>
    </w:p>
    <w:p w14:paraId="5543D421" w14:textId="0DFF68FD" w:rsidR="00FC0B85" w:rsidRPr="00272E6D" w:rsidRDefault="00987889" w:rsidP="000C06BF">
      <w:pPr>
        <w:spacing w:before="120" w:after="120" w:line="360" w:lineRule="auto"/>
        <w:rPr>
          <w:rFonts w:eastAsiaTheme="majorEastAsia"/>
          <w:b/>
          <w:bCs/>
          <w:sz w:val="28"/>
          <w:szCs w:val="28"/>
          <w:u w:val="single"/>
        </w:rPr>
      </w:pPr>
      <w:r w:rsidRPr="00272E6D">
        <w:rPr>
          <w:rFonts w:eastAsiaTheme="majorEastAsia"/>
          <w:b/>
          <w:bCs/>
          <w:sz w:val="28"/>
          <w:szCs w:val="28"/>
        </w:rPr>
        <w:t xml:space="preserve">1.7 </w:t>
      </w:r>
      <w:r w:rsidR="00FC0B85" w:rsidRPr="00272E6D">
        <w:rPr>
          <w:rFonts w:eastAsiaTheme="majorEastAsia"/>
          <w:b/>
          <w:bCs/>
          <w:sz w:val="28"/>
          <w:szCs w:val="28"/>
          <w:u w:val="single"/>
        </w:rPr>
        <w:t>Long</w:t>
      </w:r>
      <w:r w:rsidR="00CD1869">
        <w:rPr>
          <w:rFonts w:eastAsiaTheme="majorEastAsia"/>
          <w:b/>
          <w:bCs/>
          <w:sz w:val="28"/>
          <w:szCs w:val="28"/>
          <w:u w:val="single"/>
        </w:rPr>
        <w:t>-</w:t>
      </w:r>
      <w:r w:rsidR="00AF666B" w:rsidRPr="00272E6D">
        <w:rPr>
          <w:rFonts w:eastAsiaTheme="majorEastAsia"/>
          <w:b/>
          <w:bCs/>
          <w:sz w:val="28"/>
          <w:szCs w:val="28"/>
          <w:u w:val="single"/>
        </w:rPr>
        <w:t>term goals</w:t>
      </w:r>
    </w:p>
    <w:p w14:paraId="262DEBA1" w14:textId="72544CC3" w:rsidR="00FC0B85"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sidRPr="00E90AF9">
        <w:rPr>
          <w:bCs/>
          <w:sz w:val="24"/>
          <w:szCs w:val="24"/>
        </w:rPr>
        <w:t>To detect signals i</w:t>
      </w:r>
      <w:r>
        <w:rPr>
          <w:bCs/>
          <w:sz w:val="24"/>
          <w:szCs w:val="24"/>
        </w:rPr>
        <w:t xml:space="preserve">n </w:t>
      </w:r>
      <w:r w:rsidR="006F5700">
        <w:rPr>
          <w:bCs/>
          <w:sz w:val="24"/>
          <w:szCs w:val="24"/>
        </w:rPr>
        <w:t xml:space="preserve">the </w:t>
      </w:r>
      <w:r>
        <w:rPr>
          <w:bCs/>
          <w:sz w:val="24"/>
          <w:szCs w:val="24"/>
        </w:rPr>
        <w:t>National pharmacovigilance</w:t>
      </w:r>
      <w:r w:rsidRPr="00E90AF9">
        <w:rPr>
          <w:bCs/>
          <w:sz w:val="24"/>
          <w:szCs w:val="24"/>
        </w:rPr>
        <w:t xml:space="preserve"> database;</w:t>
      </w:r>
    </w:p>
    <w:p w14:paraId="18CDF9FC" w14:textId="6A7D9D10" w:rsidR="006F5700" w:rsidRPr="00E90AF9" w:rsidRDefault="006F5700" w:rsidP="00B551AA">
      <w:pPr>
        <w:widowControl/>
        <w:numPr>
          <w:ilvl w:val="1"/>
          <w:numId w:val="5"/>
        </w:numPr>
        <w:tabs>
          <w:tab w:val="clear" w:pos="1440"/>
          <w:tab w:val="num" w:pos="1260"/>
        </w:tabs>
        <w:spacing w:before="120" w:after="120" w:line="360" w:lineRule="auto"/>
        <w:ind w:left="1260"/>
        <w:jc w:val="both"/>
        <w:rPr>
          <w:bCs/>
          <w:sz w:val="24"/>
          <w:szCs w:val="24"/>
        </w:rPr>
      </w:pPr>
      <w:r>
        <w:rPr>
          <w:bCs/>
          <w:sz w:val="24"/>
          <w:szCs w:val="24"/>
        </w:rPr>
        <w:t>Alert generation and initiation of regulatory decisions relevant to the safety of therapeutic goods.</w:t>
      </w:r>
    </w:p>
    <w:p w14:paraId="4AB539B5" w14:textId="35DC34D4" w:rsidR="00FC0B85" w:rsidRDefault="006F5700" w:rsidP="00B551AA">
      <w:pPr>
        <w:widowControl/>
        <w:numPr>
          <w:ilvl w:val="1"/>
          <w:numId w:val="5"/>
        </w:numPr>
        <w:tabs>
          <w:tab w:val="clear" w:pos="1440"/>
          <w:tab w:val="num" w:pos="1260"/>
        </w:tabs>
        <w:spacing w:before="120" w:after="120" w:line="360" w:lineRule="auto"/>
        <w:ind w:left="1260"/>
        <w:jc w:val="both"/>
        <w:rPr>
          <w:bCs/>
          <w:sz w:val="24"/>
          <w:szCs w:val="24"/>
        </w:rPr>
      </w:pPr>
      <w:r>
        <w:rPr>
          <w:bCs/>
          <w:sz w:val="24"/>
          <w:szCs w:val="24"/>
        </w:rPr>
        <w:t>Take necessary measures for active</w:t>
      </w:r>
      <w:r w:rsidR="0084207A">
        <w:rPr>
          <w:bCs/>
          <w:sz w:val="24"/>
          <w:szCs w:val="24"/>
        </w:rPr>
        <w:t xml:space="preserve"> </w:t>
      </w:r>
      <w:r>
        <w:rPr>
          <w:bCs/>
          <w:sz w:val="24"/>
          <w:szCs w:val="24"/>
        </w:rPr>
        <w:t>reporting of</w:t>
      </w:r>
      <w:r w:rsidR="00FC0B85" w:rsidRPr="00E90AF9">
        <w:rPr>
          <w:bCs/>
          <w:sz w:val="24"/>
          <w:szCs w:val="24"/>
        </w:rPr>
        <w:t xml:space="preserve"> ADRs and AEs</w:t>
      </w:r>
      <w:r>
        <w:rPr>
          <w:bCs/>
          <w:sz w:val="24"/>
          <w:szCs w:val="24"/>
        </w:rPr>
        <w:t xml:space="preserve"> </w:t>
      </w:r>
      <w:proofErr w:type="gramStart"/>
      <w:r>
        <w:rPr>
          <w:bCs/>
          <w:sz w:val="24"/>
          <w:szCs w:val="24"/>
        </w:rPr>
        <w:t xml:space="preserve">by </w:t>
      </w:r>
      <w:r w:rsidR="00FC0B85" w:rsidRPr="00E90AF9">
        <w:rPr>
          <w:bCs/>
          <w:sz w:val="24"/>
          <w:szCs w:val="24"/>
        </w:rPr>
        <w:t xml:space="preserve"> HCPs</w:t>
      </w:r>
      <w:proofErr w:type="gramEnd"/>
      <w:r w:rsidR="00FC0B85" w:rsidRPr="00E90AF9">
        <w:rPr>
          <w:bCs/>
          <w:sz w:val="24"/>
          <w:szCs w:val="24"/>
        </w:rPr>
        <w:t>;</w:t>
      </w:r>
    </w:p>
    <w:p w14:paraId="7A4A1D3E" w14:textId="6AF03076" w:rsidR="006F5700" w:rsidRPr="006F5700" w:rsidRDefault="006F5700" w:rsidP="00B551AA">
      <w:pPr>
        <w:widowControl/>
        <w:numPr>
          <w:ilvl w:val="1"/>
          <w:numId w:val="5"/>
        </w:numPr>
        <w:tabs>
          <w:tab w:val="clear" w:pos="1440"/>
          <w:tab w:val="num" w:pos="1260"/>
        </w:tabs>
        <w:spacing w:before="120" w:after="120" w:line="360" w:lineRule="auto"/>
        <w:ind w:left="1260"/>
        <w:jc w:val="both"/>
        <w:rPr>
          <w:bCs/>
          <w:sz w:val="24"/>
          <w:szCs w:val="24"/>
        </w:rPr>
      </w:pPr>
      <w:r>
        <w:rPr>
          <w:bCs/>
          <w:sz w:val="24"/>
          <w:szCs w:val="24"/>
        </w:rPr>
        <w:t>Initiate post-authorization safety studies;</w:t>
      </w:r>
    </w:p>
    <w:p w14:paraId="62C425F7" w14:textId="7DBD48B2" w:rsidR="00FC0B85" w:rsidRPr="00E90AF9" w:rsidRDefault="00FC0B85" w:rsidP="00B551AA">
      <w:pPr>
        <w:widowControl/>
        <w:numPr>
          <w:ilvl w:val="1"/>
          <w:numId w:val="5"/>
        </w:numPr>
        <w:tabs>
          <w:tab w:val="clear" w:pos="1440"/>
          <w:tab w:val="num" w:pos="1260"/>
        </w:tabs>
        <w:spacing w:before="120" w:after="120" w:line="360" w:lineRule="auto"/>
        <w:ind w:left="1260"/>
        <w:jc w:val="both"/>
        <w:rPr>
          <w:bCs/>
          <w:sz w:val="24"/>
          <w:szCs w:val="24"/>
        </w:rPr>
      </w:pPr>
      <w:r w:rsidRPr="00E90AF9">
        <w:rPr>
          <w:bCs/>
          <w:sz w:val="24"/>
          <w:szCs w:val="24"/>
        </w:rPr>
        <w:t xml:space="preserve">Start </w:t>
      </w:r>
      <w:r w:rsidR="003E66FA" w:rsidRPr="00E90AF9">
        <w:rPr>
          <w:bCs/>
          <w:sz w:val="24"/>
          <w:szCs w:val="24"/>
        </w:rPr>
        <w:t>Active Surveillance</w:t>
      </w:r>
      <w:r w:rsidRPr="00E90AF9">
        <w:rPr>
          <w:bCs/>
          <w:sz w:val="24"/>
          <w:szCs w:val="24"/>
        </w:rPr>
        <w:t xml:space="preserve">, </w:t>
      </w:r>
      <w:r w:rsidR="003E66FA" w:rsidRPr="00E90AF9">
        <w:rPr>
          <w:bCs/>
          <w:sz w:val="24"/>
          <w:szCs w:val="24"/>
        </w:rPr>
        <w:t xml:space="preserve">Cohort Event Monitoring </w:t>
      </w:r>
      <w:r w:rsidRPr="00E90AF9">
        <w:rPr>
          <w:bCs/>
          <w:sz w:val="24"/>
          <w:szCs w:val="24"/>
        </w:rPr>
        <w:t xml:space="preserve">and </w:t>
      </w:r>
      <w:proofErr w:type="spellStart"/>
      <w:r w:rsidR="003E66FA" w:rsidRPr="00E90AF9">
        <w:rPr>
          <w:bCs/>
          <w:sz w:val="24"/>
          <w:szCs w:val="24"/>
        </w:rPr>
        <w:t>Pharmacoepidemiological</w:t>
      </w:r>
      <w:proofErr w:type="spellEnd"/>
      <w:r w:rsidR="003E66FA" w:rsidRPr="00E90AF9">
        <w:rPr>
          <w:bCs/>
          <w:sz w:val="24"/>
          <w:szCs w:val="24"/>
        </w:rPr>
        <w:t xml:space="preserve"> </w:t>
      </w:r>
      <w:r w:rsidRPr="00E90AF9">
        <w:rPr>
          <w:bCs/>
          <w:sz w:val="24"/>
          <w:szCs w:val="24"/>
        </w:rPr>
        <w:t>studies</w:t>
      </w:r>
      <w:r>
        <w:rPr>
          <w:bCs/>
          <w:sz w:val="24"/>
          <w:szCs w:val="24"/>
        </w:rPr>
        <w:t xml:space="preserve"> in Pakistan</w:t>
      </w:r>
      <w:r w:rsidRPr="00E90AF9">
        <w:rPr>
          <w:bCs/>
          <w:sz w:val="24"/>
          <w:szCs w:val="24"/>
        </w:rPr>
        <w:t>.</w:t>
      </w:r>
    </w:p>
    <w:p w14:paraId="7CE17128" w14:textId="58C3862D" w:rsidR="001E5D32" w:rsidRDefault="001E5D32" w:rsidP="001E5D32"/>
    <w:p w14:paraId="5FFF5C97" w14:textId="6D7C3FE5" w:rsidR="00FC0B85" w:rsidRPr="00272E6D" w:rsidRDefault="00FC0B85" w:rsidP="000C06BF">
      <w:pPr>
        <w:spacing w:before="120" w:after="120" w:line="360" w:lineRule="auto"/>
        <w:rPr>
          <w:b/>
          <w:sz w:val="28"/>
          <w:szCs w:val="28"/>
        </w:rPr>
      </w:pPr>
      <w:r w:rsidRPr="00272E6D">
        <w:rPr>
          <w:rFonts w:eastAsiaTheme="majorEastAsia"/>
          <w:b/>
          <w:sz w:val="28"/>
          <w:szCs w:val="28"/>
        </w:rPr>
        <w:t xml:space="preserve"> </w:t>
      </w:r>
      <w:r w:rsidR="00987889" w:rsidRPr="00272E6D">
        <w:rPr>
          <w:rFonts w:eastAsiaTheme="majorEastAsia"/>
          <w:b/>
          <w:sz w:val="28"/>
          <w:szCs w:val="28"/>
        </w:rPr>
        <w:t xml:space="preserve">1.8 </w:t>
      </w:r>
      <w:r w:rsidRPr="00272E6D">
        <w:rPr>
          <w:rFonts w:eastAsiaTheme="majorEastAsia"/>
          <w:b/>
          <w:sz w:val="28"/>
          <w:szCs w:val="28"/>
          <w:u w:val="single"/>
        </w:rPr>
        <w:t xml:space="preserve">Overview of the </w:t>
      </w:r>
      <w:r w:rsidR="005672B2" w:rsidRPr="00272E6D">
        <w:rPr>
          <w:rFonts w:eastAsiaTheme="majorEastAsia"/>
          <w:b/>
          <w:sz w:val="28"/>
          <w:szCs w:val="28"/>
          <w:u w:val="single"/>
        </w:rPr>
        <w:t>system</w:t>
      </w:r>
    </w:p>
    <w:p w14:paraId="18B0C72B" w14:textId="03CE7D04" w:rsidR="00FC0B85" w:rsidRPr="00A62FAF" w:rsidRDefault="00FC0B85" w:rsidP="000C06BF">
      <w:pPr>
        <w:spacing w:before="120" w:after="120" w:line="360" w:lineRule="auto"/>
        <w:ind w:left="540"/>
        <w:jc w:val="both"/>
        <w:rPr>
          <w:bCs/>
          <w:sz w:val="24"/>
          <w:szCs w:val="24"/>
        </w:rPr>
      </w:pPr>
      <w:r w:rsidRPr="00A62FAF">
        <w:rPr>
          <w:bCs/>
          <w:sz w:val="24"/>
          <w:szCs w:val="24"/>
        </w:rPr>
        <w:t>The Drugs legislation in Pakistan has bipartisan shared responsibilities between Federal and Provincial Governments. The Drug Regulatory Authority of Pakistan</w:t>
      </w:r>
      <w:r w:rsidR="005C12BC">
        <w:rPr>
          <w:bCs/>
          <w:sz w:val="24"/>
          <w:szCs w:val="24"/>
        </w:rPr>
        <w:t xml:space="preserve"> (DRAP)</w:t>
      </w:r>
      <w:r w:rsidRPr="00A62FAF">
        <w:rPr>
          <w:bCs/>
          <w:sz w:val="24"/>
          <w:szCs w:val="24"/>
        </w:rPr>
        <w:t xml:space="preserve"> working under the Ministry of National Health Services Regulations and Coordination is to provide for effective coordination and enforcement of the Drugs Act, 1976 and to bring harmony in inter-provincial trade and commerce of therapeutic goods.  The DRAP has the mandate to ensure access </w:t>
      </w:r>
      <w:r w:rsidR="00C160BF">
        <w:rPr>
          <w:bCs/>
          <w:sz w:val="24"/>
          <w:szCs w:val="24"/>
        </w:rPr>
        <w:t>to</w:t>
      </w:r>
      <w:r w:rsidRPr="00A62FAF">
        <w:rPr>
          <w:bCs/>
          <w:sz w:val="24"/>
          <w:szCs w:val="24"/>
        </w:rPr>
        <w:t xml:space="preserve"> safe, efficacious and quality therapeutic goods to the public of Pakistan.</w:t>
      </w:r>
    </w:p>
    <w:p w14:paraId="50D57737" w14:textId="563B7DF4" w:rsidR="00FC0B85" w:rsidRPr="00A62FAF" w:rsidRDefault="00FC0B85" w:rsidP="00E4359A">
      <w:pPr>
        <w:spacing w:before="120" w:after="120" w:line="360" w:lineRule="auto"/>
        <w:ind w:left="540"/>
        <w:jc w:val="both"/>
        <w:rPr>
          <w:iCs/>
          <w:sz w:val="24"/>
          <w:szCs w:val="24"/>
        </w:rPr>
      </w:pPr>
      <w:r w:rsidRPr="00A62FAF">
        <w:rPr>
          <w:bCs/>
          <w:sz w:val="24"/>
          <w:szCs w:val="24"/>
        </w:rPr>
        <w:t>National Pharmacovigilance Centre (NPC)</w:t>
      </w:r>
      <w:r w:rsidR="00C160BF">
        <w:rPr>
          <w:bCs/>
          <w:sz w:val="24"/>
          <w:szCs w:val="24"/>
        </w:rPr>
        <w:t xml:space="preserve"> was established by DRAP</w:t>
      </w:r>
      <w:r w:rsidRPr="00A62FAF">
        <w:rPr>
          <w:bCs/>
          <w:sz w:val="24"/>
          <w:szCs w:val="24"/>
        </w:rPr>
        <w:t xml:space="preserve"> under the Division of Pharmacy Services</w:t>
      </w:r>
      <w:r w:rsidR="00C160BF">
        <w:rPr>
          <w:bCs/>
          <w:sz w:val="24"/>
          <w:szCs w:val="24"/>
        </w:rPr>
        <w:t xml:space="preserve"> </w:t>
      </w:r>
      <w:r w:rsidRPr="00A62FAF">
        <w:rPr>
          <w:bCs/>
          <w:sz w:val="24"/>
          <w:szCs w:val="24"/>
        </w:rPr>
        <w:t xml:space="preserve">at </w:t>
      </w:r>
      <w:r w:rsidR="00C160BF">
        <w:rPr>
          <w:bCs/>
          <w:sz w:val="24"/>
          <w:szCs w:val="24"/>
        </w:rPr>
        <w:t>its</w:t>
      </w:r>
      <w:r w:rsidRPr="00A62FAF">
        <w:rPr>
          <w:bCs/>
          <w:sz w:val="24"/>
          <w:szCs w:val="24"/>
        </w:rPr>
        <w:t xml:space="preserve"> headquarters, Islamabad, to monitor the safety of therapeutic goods across the country. NPC collects reports from </w:t>
      </w:r>
      <w:r w:rsidR="00E131FB" w:rsidRPr="00A62FAF">
        <w:rPr>
          <w:bCs/>
          <w:sz w:val="24"/>
          <w:szCs w:val="24"/>
        </w:rPr>
        <w:t>Healthcare Professionals</w:t>
      </w:r>
      <w:r w:rsidRPr="00A62FAF">
        <w:rPr>
          <w:bCs/>
          <w:sz w:val="24"/>
          <w:szCs w:val="24"/>
        </w:rPr>
        <w:t xml:space="preserve">, </w:t>
      </w:r>
      <w:r w:rsidR="00E131FB" w:rsidRPr="00A62FAF">
        <w:rPr>
          <w:bCs/>
          <w:sz w:val="24"/>
          <w:szCs w:val="24"/>
        </w:rPr>
        <w:t>Patients</w:t>
      </w:r>
      <w:r w:rsidRPr="00A62FAF">
        <w:rPr>
          <w:bCs/>
          <w:sz w:val="24"/>
          <w:szCs w:val="24"/>
        </w:rPr>
        <w:t xml:space="preserve">, </w:t>
      </w:r>
      <w:r w:rsidR="009D21EE" w:rsidRPr="00A62FAF">
        <w:rPr>
          <w:bCs/>
          <w:sz w:val="24"/>
          <w:szCs w:val="24"/>
        </w:rPr>
        <w:t>Provincial Pharmacovigilance Centres</w:t>
      </w:r>
      <w:r w:rsidRPr="00A62FAF">
        <w:rPr>
          <w:bCs/>
          <w:sz w:val="24"/>
          <w:szCs w:val="24"/>
        </w:rPr>
        <w:t xml:space="preserve">, </w:t>
      </w:r>
      <w:r w:rsidR="009D21EE" w:rsidRPr="00A62FAF">
        <w:rPr>
          <w:bCs/>
          <w:sz w:val="24"/>
          <w:szCs w:val="24"/>
        </w:rPr>
        <w:t xml:space="preserve">Public Health Programmes </w:t>
      </w:r>
      <w:r w:rsidRPr="00A62FAF">
        <w:rPr>
          <w:bCs/>
          <w:sz w:val="24"/>
          <w:szCs w:val="24"/>
        </w:rPr>
        <w:t xml:space="preserve">and </w:t>
      </w:r>
      <w:r w:rsidR="009D21EE" w:rsidRPr="00A62FAF">
        <w:rPr>
          <w:bCs/>
          <w:sz w:val="24"/>
          <w:szCs w:val="24"/>
        </w:rPr>
        <w:t>Registration Holders</w:t>
      </w:r>
      <w:r w:rsidRPr="00A62FAF">
        <w:rPr>
          <w:bCs/>
          <w:sz w:val="24"/>
          <w:szCs w:val="24"/>
        </w:rPr>
        <w:t xml:space="preserve">. In addition, NPC is also responsible to communicate with </w:t>
      </w:r>
      <w:r w:rsidR="009D21EE" w:rsidRPr="00A62FAF">
        <w:rPr>
          <w:bCs/>
          <w:sz w:val="24"/>
          <w:szCs w:val="24"/>
        </w:rPr>
        <w:t xml:space="preserve">National </w:t>
      </w:r>
      <w:r w:rsidRPr="00A62FAF">
        <w:rPr>
          <w:bCs/>
          <w:sz w:val="24"/>
          <w:szCs w:val="24"/>
        </w:rPr>
        <w:t xml:space="preserve">and global stakeholders. NPC is responsible </w:t>
      </w:r>
      <w:r w:rsidR="00DA004D">
        <w:rPr>
          <w:bCs/>
          <w:sz w:val="24"/>
          <w:szCs w:val="24"/>
        </w:rPr>
        <w:t xml:space="preserve">for </w:t>
      </w:r>
      <w:r w:rsidRPr="00A62FAF">
        <w:rPr>
          <w:bCs/>
          <w:sz w:val="24"/>
          <w:szCs w:val="24"/>
        </w:rPr>
        <w:t>detect</w:t>
      </w:r>
      <w:r w:rsidR="00DA004D">
        <w:rPr>
          <w:bCs/>
          <w:sz w:val="24"/>
          <w:szCs w:val="24"/>
        </w:rPr>
        <w:t>ing</w:t>
      </w:r>
      <w:r w:rsidRPr="00A62FAF">
        <w:rPr>
          <w:bCs/>
          <w:sz w:val="24"/>
          <w:szCs w:val="24"/>
        </w:rPr>
        <w:t xml:space="preserve"> signals; recommend</w:t>
      </w:r>
      <w:r w:rsidR="00DA004D">
        <w:rPr>
          <w:bCs/>
          <w:sz w:val="24"/>
          <w:szCs w:val="24"/>
        </w:rPr>
        <w:t>ing</w:t>
      </w:r>
      <w:r w:rsidRPr="00A62FAF">
        <w:rPr>
          <w:bCs/>
          <w:sz w:val="24"/>
          <w:szCs w:val="24"/>
        </w:rPr>
        <w:t xml:space="preserve"> regulatory actions; integrat</w:t>
      </w:r>
      <w:r w:rsidR="00DA004D">
        <w:rPr>
          <w:bCs/>
          <w:sz w:val="24"/>
          <w:szCs w:val="24"/>
        </w:rPr>
        <w:t>ing</w:t>
      </w:r>
      <w:r w:rsidRPr="00A62FAF">
        <w:rPr>
          <w:bCs/>
          <w:sz w:val="24"/>
          <w:szCs w:val="24"/>
        </w:rPr>
        <w:t xml:space="preserve"> provincial, </w:t>
      </w:r>
      <w:r w:rsidR="00DA004D" w:rsidRPr="00A62FAF">
        <w:rPr>
          <w:bCs/>
          <w:sz w:val="24"/>
          <w:szCs w:val="24"/>
        </w:rPr>
        <w:t xml:space="preserve">hospitals </w:t>
      </w:r>
      <w:r w:rsidR="00DA004D">
        <w:rPr>
          <w:bCs/>
          <w:sz w:val="24"/>
          <w:szCs w:val="24"/>
        </w:rPr>
        <w:t xml:space="preserve">and </w:t>
      </w:r>
      <w:r w:rsidRPr="00A62FAF">
        <w:rPr>
          <w:bCs/>
          <w:sz w:val="24"/>
          <w:szCs w:val="24"/>
        </w:rPr>
        <w:t>public health programmes; issu</w:t>
      </w:r>
      <w:r w:rsidR="00DA004D">
        <w:rPr>
          <w:bCs/>
          <w:sz w:val="24"/>
          <w:szCs w:val="24"/>
        </w:rPr>
        <w:t>ing</w:t>
      </w:r>
      <w:r w:rsidRPr="00A62FAF">
        <w:rPr>
          <w:bCs/>
          <w:sz w:val="24"/>
          <w:szCs w:val="24"/>
        </w:rPr>
        <w:t xml:space="preserve"> safety communication; publish</w:t>
      </w:r>
      <w:r w:rsidR="00DA004D">
        <w:rPr>
          <w:bCs/>
          <w:sz w:val="24"/>
          <w:szCs w:val="24"/>
        </w:rPr>
        <w:t>ing</w:t>
      </w:r>
      <w:r w:rsidRPr="00A62FAF">
        <w:rPr>
          <w:bCs/>
          <w:sz w:val="24"/>
          <w:szCs w:val="24"/>
        </w:rPr>
        <w:t xml:space="preserve"> newsletter</w:t>
      </w:r>
      <w:r w:rsidR="00C160BF">
        <w:rPr>
          <w:bCs/>
          <w:sz w:val="24"/>
          <w:szCs w:val="24"/>
        </w:rPr>
        <w:t>s</w:t>
      </w:r>
      <w:r w:rsidRPr="00A62FAF">
        <w:rPr>
          <w:bCs/>
          <w:sz w:val="24"/>
          <w:szCs w:val="24"/>
        </w:rPr>
        <w:t xml:space="preserve">; and </w:t>
      </w:r>
      <w:r w:rsidR="00DA004D">
        <w:rPr>
          <w:bCs/>
          <w:sz w:val="24"/>
          <w:szCs w:val="24"/>
        </w:rPr>
        <w:t>performing</w:t>
      </w:r>
      <w:r w:rsidRPr="00A62FAF">
        <w:rPr>
          <w:bCs/>
          <w:sz w:val="24"/>
          <w:szCs w:val="24"/>
        </w:rPr>
        <w:t xml:space="preserve"> other functions as elaborated in </w:t>
      </w:r>
      <w:hyperlink r:id="rId27" w:history="1">
        <w:r w:rsidR="00501EAA" w:rsidRPr="001D38A3">
          <w:rPr>
            <w:rStyle w:val="Hyperlink"/>
            <w:bCs/>
            <w:sz w:val="24"/>
            <w:szCs w:val="24"/>
          </w:rPr>
          <w:t>Pharmacovigilance Rules, 2022</w:t>
        </w:r>
        <w:r w:rsidRPr="001D38A3">
          <w:rPr>
            <w:rStyle w:val="Hyperlink"/>
            <w:bCs/>
            <w:sz w:val="24"/>
            <w:szCs w:val="24"/>
          </w:rPr>
          <w:t>.</w:t>
        </w:r>
      </w:hyperlink>
      <w:r w:rsidRPr="00A62FAF">
        <w:rPr>
          <w:bCs/>
          <w:sz w:val="24"/>
          <w:szCs w:val="24"/>
        </w:rPr>
        <w:t xml:space="preserve"> Pharmacovigilance Risk Assessment Expert Committee [PRAEC] is the advisory committee working at </w:t>
      </w:r>
      <w:r w:rsidR="00C160BF">
        <w:rPr>
          <w:bCs/>
          <w:sz w:val="24"/>
          <w:szCs w:val="24"/>
        </w:rPr>
        <w:t xml:space="preserve">the </w:t>
      </w:r>
      <w:r w:rsidRPr="00A62FAF">
        <w:rPr>
          <w:bCs/>
          <w:sz w:val="24"/>
          <w:szCs w:val="24"/>
        </w:rPr>
        <w:t>National level</w:t>
      </w:r>
      <w:r w:rsidR="00C160BF">
        <w:rPr>
          <w:bCs/>
          <w:sz w:val="24"/>
          <w:szCs w:val="24"/>
        </w:rPr>
        <w:t xml:space="preserve"> under the NPC</w:t>
      </w:r>
      <w:r w:rsidRPr="00A62FAF">
        <w:rPr>
          <w:bCs/>
          <w:sz w:val="24"/>
          <w:szCs w:val="24"/>
        </w:rPr>
        <w:t xml:space="preserve">. </w:t>
      </w:r>
      <w:r w:rsidR="009D21EE">
        <w:rPr>
          <w:bCs/>
          <w:sz w:val="24"/>
          <w:szCs w:val="24"/>
        </w:rPr>
        <w:t xml:space="preserve">The </w:t>
      </w:r>
      <w:r w:rsidRPr="00A62FAF">
        <w:rPr>
          <w:iCs/>
          <w:sz w:val="24"/>
          <w:szCs w:val="24"/>
        </w:rPr>
        <w:t>PR</w:t>
      </w:r>
      <w:r w:rsidR="00C160BF">
        <w:rPr>
          <w:iCs/>
          <w:sz w:val="24"/>
          <w:szCs w:val="24"/>
        </w:rPr>
        <w:t>E</w:t>
      </w:r>
      <w:r w:rsidRPr="00A62FAF">
        <w:rPr>
          <w:iCs/>
          <w:sz w:val="24"/>
          <w:szCs w:val="24"/>
        </w:rPr>
        <w:t xml:space="preserve">AC is responsible </w:t>
      </w:r>
      <w:r w:rsidR="00C160BF" w:rsidRPr="006F0D35">
        <w:rPr>
          <w:rFonts w:eastAsiaTheme="minorHAnsi"/>
          <w:sz w:val="24"/>
          <w:szCs w:val="24"/>
          <w:lang w:val="en-US"/>
        </w:rPr>
        <w:t xml:space="preserve">for risk management associated with the use of therapeutic </w:t>
      </w:r>
      <w:proofErr w:type="spellStart"/>
      <w:proofErr w:type="gramStart"/>
      <w:r w:rsidR="00C160BF" w:rsidRPr="006F0D35">
        <w:rPr>
          <w:rFonts w:eastAsiaTheme="minorHAnsi"/>
          <w:sz w:val="24"/>
          <w:szCs w:val="24"/>
          <w:lang w:val="en-US"/>
        </w:rPr>
        <w:t>goods,i.e</w:t>
      </w:r>
      <w:proofErr w:type="spellEnd"/>
      <w:r w:rsidR="00C160BF" w:rsidRPr="006F0D35">
        <w:rPr>
          <w:rFonts w:eastAsiaTheme="minorHAnsi"/>
          <w:sz w:val="24"/>
          <w:szCs w:val="24"/>
          <w:lang w:val="en-US"/>
        </w:rPr>
        <w:t>.</w:t>
      </w:r>
      <w:proofErr w:type="gramEnd"/>
      <w:r w:rsidR="00C160BF" w:rsidRPr="006F0D35">
        <w:rPr>
          <w:rFonts w:eastAsiaTheme="minorHAnsi"/>
          <w:sz w:val="24"/>
          <w:szCs w:val="24"/>
          <w:lang w:val="en-US"/>
        </w:rPr>
        <w:t xml:space="preserve"> signal detection, causality assessment, risk minimization, communication</w:t>
      </w:r>
      <w:r w:rsidR="00920F66">
        <w:rPr>
          <w:rFonts w:eastAsiaTheme="minorHAnsi"/>
          <w:sz w:val="24"/>
          <w:szCs w:val="24"/>
          <w:lang w:val="en-US"/>
        </w:rPr>
        <w:t xml:space="preserve"> </w:t>
      </w:r>
      <w:r w:rsidR="00C160BF" w:rsidRPr="006F0D35">
        <w:rPr>
          <w:rFonts w:eastAsiaTheme="minorHAnsi"/>
          <w:sz w:val="24"/>
          <w:szCs w:val="24"/>
          <w:lang w:val="en-US"/>
        </w:rPr>
        <w:t xml:space="preserve">related to </w:t>
      </w:r>
      <w:r w:rsidR="00C160BF">
        <w:rPr>
          <w:rFonts w:eastAsiaTheme="minorHAnsi"/>
          <w:sz w:val="24"/>
          <w:szCs w:val="24"/>
          <w:lang w:val="en-US"/>
        </w:rPr>
        <w:t xml:space="preserve">the </w:t>
      </w:r>
      <w:r w:rsidR="00C160BF" w:rsidRPr="006F0D35">
        <w:rPr>
          <w:rFonts w:eastAsiaTheme="minorHAnsi"/>
          <w:sz w:val="24"/>
          <w:szCs w:val="24"/>
          <w:lang w:val="en-US"/>
        </w:rPr>
        <w:t>risk</w:t>
      </w:r>
      <w:r w:rsidR="00C160BF" w:rsidRPr="006F0D35">
        <w:rPr>
          <w:bCs/>
          <w:sz w:val="24"/>
          <w:szCs w:val="24"/>
        </w:rPr>
        <w:t xml:space="preserve"> </w:t>
      </w:r>
      <w:r w:rsidR="00C160BF" w:rsidRPr="006F0D35">
        <w:rPr>
          <w:rFonts w:eastAsiaTheme="minorHAnsi"/>
          <w:sz w:val="24"/>
          <w:szCs w:val="24"/>
          <w:lang w:val="en-US"/>
        </w:rPr>
        <w:t>of adverse events and evaluation of periodic reports</w:t>
      </w:r>
      <w:r w:rsidR="00C160BF">
        <w:rPr>
          <w:rFonts w:eastAsiaTheme="minorHAnsi"/>
          <w:sz w:val="24"/>
          <w:szCs w:val="24"/>
          <w:lang w:val="en-US"/>
        </w:rPr>
        <w:t>.</w:t>
      </w:r>
      <w:r w:rsidR="00E4359A">
        <w:rPr>
          <w:rFonts w:eastAsiaTheme="minorHAnsi"/>
          <w:sz w:val="24"/>
          <w:szCs w:val="24"/>
          <w:lang w:val="en-US"/>
        </w:rPr>
        <w:t xml:space="preserve"> </w:t>
      </w:r>
      <w:r w:rsidR="00E4359A">
        <w:rPr>
          <w:iCs/>
          <w:sz w:val="24"/>
          <w:szCs w:val="24"/>
        </w:rPr>
        <w:t xml:space="preserve">The official website of the DRAP may be visited to know more about the </w:t>
      </w:r>
      <w:hyperlink r:id="rId28" w:history="1">
        <w:r w:rsidR="00E4359A" w:rsidRPr="004F1D73">
          <w:rPr>
            <w:rStyle w:val="Hyperlink"/>
            <w:iCs/>
            <w:sz w:val="24"/>
            <w:szCs w:val="24"/>
          </w:rPr>
          <w:t>National Pharmacovigilance System</w:t>
        </w:r>
      </w:hyperlink>
      <w:r w:rsidR="00E4359A">
        <w:rPr>
          <w:iCs/>
          <w:sz w:val="24"/>
          <w:szCs w:val="24"/>
        </w:rPr>
        <w:t xml:space="preserve"> and </w:t>
      </w:r>
      <w:hyperlink r:id="rId29" w:history="1">
        <w:r w:rsidR="00E4359A" w:rsidRPr="004F1D73">
          <w:rPr>
            <w:rStyle w:val="Hyperlink"/>
            <w:iCs/>
            <w:sz w:val="24"/>
            <w:szCs w:val="24"/>
          </w:rPr>
          <w:t>how DRAP monitor the safety</w:t>
        </w:r>
      </w:hyperlink>
      <w:r w:rsidR="00E4359A">
        <w:rPr>
          <w:iCs/>
          <w:sz w:val="24"/>
          <w:szCs w:val="24"/>
        </w:rPr>
        <w:t xml:space="preserve"> of therapeutic goods. </w:t>
      </w:r>
    </w:p>
    <w:p w14:paraId="284B5478" w14:textId="4136A3BD" w:rsidR="00FC0B85" w:rsidRPr="00A62FAF" w:rsidRDefault="00FC0B85" w:rsidP="000C06BF">
      <w:pPr>
        <w:spacing w:before="120" w:after="120" w:line="360" w:lineRule="auto"/>
        <w:ind w:left="540"/>
        <w:jc w:val="both"/>
        <w:rPr>
          <w:iCs/>
          <w:sz w:val="24"/>
          <w:szCs w:val="24"/>
        </w:rPr>
      </w:pPr>
      <w:r w:rsidRPr="00A62FAF">
        <w:rPr>
          <w:iCs/>
          <w:sz w:val="24"/>
          <w:szCs w:val="24"/>
        </w:rPr>
        <w:t xml:space="preserve">Provincial Pharmacovigilance Centres (PPCs) </w:t>
      </w:r>
      <w:r w:rsidR="00C160BF">
        <w:rPr>
          <w:iCs/>
          <w:sz w:val="24"/>
          <w:szCs w:val="24"/>
        </w:rPr>
        <w:t>are</w:t>
      </w:r>
      <w:r w:rsidRPr="00A62FAF">
        <w:rPr>
          <w:iCs/>
          <w:sz w:val="24"/>
          <w:szCs w:val="24"/>
        </w:rPr>
        <w:t xml:space="preserve"> established by </w:t>
      </w:r>
      <w:r w:rsidR="00C160BF">
        <w:rPr>
          <w:iCs/>
          <w:sz w:val="24"/>
          <w:szCs w:val="24"/>
        </w:rPr>
        <w:t xml:space="preserve">the </w:t>
      </w:r>
      <w:r w:rsidRPr="00A62FAF">
        <w:rPr>
          <w:iCs/>
          <w:sz w:val="24"/>
          <w:szCs w:val="24"/>
        </w:rPr>
        <w:t xml:space="preserve">Provincial Health Department of each province. These centres collect pharmacovigilance data from therapeutic goods’ sale points, public and private </w:t>
      </w:r>
      <w:proofErr w:type="gramStart"/>
      <w:r w:rsidRPr="00A62FAF">
        <w:rPr>
          <w:iCs/>
          <w:sz w:val="24"/>
          <w:szCs w:val="24"/>
        </w:rPr>
        <w:t>hospitals,  healthcare</w:t>
      </w:r>
      <w:proofErr w:type="gramEnd"/>
      <w:r w:rsidRPr="00A62FAF">
        <w:rPr>
          <w:iCs/>
          <w:sz w:val="24"/>
          <w:szCs w:val="24"/>
        </w:rPr>
        <w:t xml:space="preserve"> professionals and patients. Provincial Health Departments nominate </w:t>
      </w:r>
      <w:r w:rsidR="00920F66">
        <w:rPr>
          <w:iCs/>
          <w:sz w:val="24"/>
          <w:szCs w:val="24"/>
        </w:rPr>
        <w:t xml:space="preserve">the </w:t>
      </w:r>
      <w:r w:rsidRPr="00A62FAF">
        <w:rPr>
          <w:iCs/>
          <w:sz w:val="24"/>
          <w:szCs w:val="24"/>
        </w:rPr>
        <w:t>Focal Person/In</w:t>
      </w:r>
      <w:r w:rsidR="00DA004D">
        <w:rPr>
          <w:iCs/>
          <w:sz w:val="24"/>
          <w:szCs w:val="24"/>
        </w:rPr>
        <w:t>-</w:t>
      </w:r>
      <w:r w:rsidRPr="00A62FAF">
        <w:rPr>
          <w:iCs/>
          <w:sz w:val="24"/>
          <w:szCs w:val="24"/>
        </w:rPr>
        <w:t xml:space="preserve">charge of PPC for coordination with NPC. Provincial Pharmacovigilance </w:t>
      </w:r>
      <w:r w:rsidR="009D21EE" w:rsidRPr="00A62FAF">
        <w:rPr>
          <w:iCs/>
          <w:sz w:val="24"/>
          <w:szCs w:val="24"/>
        </w:rPr>
        <w:t xml:space="preserve">Committees </w:t>
      </w:r>
      <w:r w:rsidRPr="00A62FAF">
        <w:rPr>
          <w:iCs/>
          <w:sz w:val="24"/>
          <w:szCs w:val="24"/>
        </w:rPr>
        <w:t xml:space="preserve">constituted by each Provincial Health Department under PPC evaluate the pharmacovigilance data of the province. PPC also notify and monitor the working of pharmacovigilance officers working at PPC and public hospitals of the province. For detailed functions of PPC, please refer </w:t>
      </w:r>
      <w:r w:rsidR="00920F66">
        <w:rPr>
          <w:iCs/>
          <w:sz w:val="24"/>
          <w:szCs w:val="24"/>
        </w:rPr>
        <w:t xml:space="preserve">to </w:t>
      </w:r>
      <w:r w:rsidR="009D21EE">
        <w:rPr>
          <w:iCs/>
          <w:sz w:val="24"/>
          <w:szCs w:val="24"/>
        </w:rPr>
        <w:t>Rule</w:t>
      </w:r>
      <w:r w:rsidR="008A4D72">
        <w:rPr>
          <w:iCs/>
          <w:sz w:val="24"/>
          <w:szCs w:val="24"/>
        </w:rPr>
        <w:t xml:space="preserve"> 5</w:t>
      </w:r>
      <w:r w:rsidR="009D21EE">
        <w:rPr>
          <w:iCs/>
          <w:sz w:val="24"/>
          <w:szCs w:val="24"/>
        </w:rPr>
        <w:t xml:space="preserve"> of the</w:t>
      </w:r>
      <w:r w:rsidR="00C160BF">
        <w:rPr>
          <w:iCs/>
          <w:sz w:val="24"/>
          <w:szCs w:val="24"/>
        </w:rPr>
        <w:t xml:space="preserve"> </w:t>
      </w:r>
      <w:hyperlink r:id="rId30" w:history="1">
        <w:r w:rsidR="00501EAA" w:rsidRPr="007D57C0">
          <w:rPr>
            <w:rStyle w:val="Hyperlink"/>
            <w:iCs/>
            <w:sz w:val="24"/>
            <w:szCs w:val="24"/>
          </w:rPr>
          <w:t>Pharmacovigilance Rules, 2022</w:t>
        </w:r>
        <w:r w:rsidRPr="007D57C0">
          <w:rPr>
            <w:rStyle w:val="Hyperlink"/>
            <w:iCs/>
            <w:sz w:val="24"/>
            <w:szCs w:val="24"/>
          </w:rPr>
          <w:t>.</w:t>
        </w:r>
      </w:hyperlink>
    </w:p>
    <w:p w14:paraId="6CF4511D" w14:textId="6BD8173C" w:rsidR="00FC0B85" w:rsidRPr="00A62FAF" w:rsidRDefault="00FC0B85" w:rsidP="000C06BF">
      <w:pPr>
        <w:spacing w:before="120" w:after="120" w:line="360" w:lineRule="auto"/>
        <w:ind w:left="540"/>
        <w:jc w:val="both"/>
        <w:rPr>
          <w:iCs/>
          <w:sz w:val="24"/>
          <w:szCs w:val="24"/>
        </w:rPr>
      </w:pPr>
      <w:r w:rsidRPr="00A62FAF">
        <w:rPr>
          <w:iCs/>
          <w:sz w:val="24"/>
          <w:szCs w:val="24"/>
        </w:rPr>
        <w:t xml:space="preserve">Pharmacovigilance </w:t>
      </w:r>
      <w:r w:rsidR="00FB52FF" w:rsidRPr="00A62FAF">
        <w:rPr>
          <w:iCs/>
          <w:sz w:val="24"/>
          <w:szCs w:val="24"/>
        </w:rPr>
        <w:t xml:space="preserve">centres </w:t>
      </w:r>
      <w:r w:rsidR="00C0486F">
        <w:rPr>
          <w:iCs/>
          <w:sz w:val="24"/>
          <w:szCs w:val="24"/>
        </w:rPr>
        <w:t>are also</w:t>
      </w:r>
      <w:r w:rsidRPr="00A62FAF">
        <w:rPr>
          <w:iCs/>
          <w:sz w:val="24"/>
          <w:szCs w:val="24"/>
        </w:rPr>
        <w:t xml:space="preserve"> established by Public Health Programme</w:t>
      </w:r>
      <w:r w:rsidR="00C0486F">
        <w:rPr>
          <w:iCs/>
          <w:sz w:val="24"/>
          <w:szCs w:val="24"/>
        </w:rPr>
        <w:t>s</w:t>
      </w:r>
      <w:r w:rsidRPr="00A62FAF">
        <w:rPr>
          <w:iCs/>
          <w:sz w:val="24"/>
          <w:szCs w:val="24"/>
        </w:rPr>
        <w:t xml:space="preserve"> (PHP</w:t>
      </w:r>
      <w:r w:rsidR="00C0486F">
        <w:rPr>
          <w:iCs/>
          <w:sz w:val="24"/>
          <w:szCs w:val="24"/>
        </w:rPr>
        <w:t>s</w:t>
      </w:r>
      <w:r w:rsidRPr="00A62FAF">
        <w:rPr>
          <w:iCs/>
          <w:sz w:val="24"/>
          <w:szCs w:val="24"/>
        </w:rPr>
        <w:t xml:space="preserve">). Each PHP nominates </w:t>
      </w:r>
      <w:r w:rsidR="00C160BF">
        <w:rPr>
          <w:iCs/>
          <w:sz w:val="24"/>
          <w:szCs w:val="24"/>
        </w:rPr>
        <w:t xml:space="preserve">a </w:t>
      </w:r>
      <w:r w:rsidRPr="00A62FAF">
        <w:rPr>
          <w:iCs/>
          <w:sz w:val="24"/>
          <w:szCs w:val="24"/>
        </w:rPr>
        <w:t xml:space="preserve">Focal Person for coordination with NPC and </w:t>
      </w:r>
      <w:r w:rsidR="00FB52FF" w:rsidRPr="00A62FAF">
        <w:rPr>
          <w:iCs/>
          <w:sz w:val="24"/>
          <w:szCs w:val="24"/>
        </w:rPr>
        <w:t xml:space="preserve">pharmacovigilance </w:t>
      </w:r>
      <w:r w:rsidRPr="00A62FAF">
        <w:rPr>
          <w:iCs/>
          <w:sz w:val="24"/>
          <w:szCs w:val="24"/>
        </w:rPr>
        <w:t xml:space="preserve">officers for </w:t>
      </w:r>
      <w:r w:rsidR="00C160BF">
        <w:rPr>
          <w:iCs/>
          <w:sz w:val="24"/>
          <w:szCs w:val="24"/>
        </w:rPr>
        <w:t xml:space="preserve">the </w:t>
      </w:r>
      <w:r w:rsidRPr="00A62FAF">
        <w:rPr>
          <w:iCs/>
          <w:sz w:val="24"/>
          <w:szCs w:val="24"/>
        </w:rPr>
        <w:t xml:space="preserve">collection and assessment of data. PHPs will also constitute Expert Safety Review Panels (ESRP) for </w:t>
      </w:r>
      <w:r w:rsidR="00C160BF">
        <w:rPr>
          <w:iCs/>
          <w:sz w:val="24"/>
          <w:szCs w:val="24"/>
        </w:rPr>
        <w:t xml:space="preserve">the </w:t>
      </w:r>
      <w:r w:rsidRPr="00A62FAF">
        <w:rPr>
          <w:iCs/>
          <w:sz w:val="24"/>
          <w:szCs w:val="24"/>
        </w:rPr>
        <w:t xml:space="preserve">evaluation of pharmacovigilance data. PHPs will also conduct </w:t>
      </w:r>
      <w:proofErr w:type="spellStart"/>
      <w:r w:rsidRPr="00A62FAF">
        <w:rPr>
          <w:iCs/>
          <w:sz w:val="24"/>
          <w:szCs w:val="24"/>
        </w:rPr>
        <w:t>pharmacoepidemiological</w:t>
      </w:r>
      <w:proofErr w:type="spellEnd"/>
      <w:r w:rsidRPr="00A62FAF">
        <w:rPr>
          <w:iCs/>
          <w:sz w:val="24"/>
          <w:szCs w:val="24"/>
        </w:rPr>
        <w:t xml:space="preserve"> studies, cohort event monitoring </w:t>
      </w:r>
      <w:r w:rsidR="00FB52FF">
        <w:rPr>
          <w:iCs/>
          <w:sz w:val="24"/>
          <w:szCs w:val="24"/>
        </w:rPr>
        <w:t>and other active surveillance studies.</w:t>
      </w:r>
      <w:r w:rsidR="00641FE3" w:rsidRPr="00641FE3">
        <w:rPr>
          <w:iCs/>
          <w:sz w:val="24"/>
          <w:szCs w:val="24"/>
        </w:rPr>
        <w:t xml:space="preserve"> </w:t>
      </w:r>
      <w:r w:rsidR="00641FE3">
        <w:rPr>
          <w:iCs/>
          <w:sz w:val="24"/>
          <w:szCs w:val="24"/>
        </w:rPr>
        <w:t xml:space="preserve">The responsibilities of public and private hospitals are defined in Rule 7 of </w:t>
      </w:r>
      <w:hyperlink r:id="rId31" w:history="1">
        <w:r w:rsidR="00641FE3" w:rsidRPr="00641FE3">
          <w:rPr>
            <w:rStyle w:val="Hyperlink"/>
            <w:iCs/>
            <w:sz w:val="24"/>
            <w:szCs w:val="24"/>
          </w:rPr>
          <w:t>Pharmacovigilance Rules, 2022.</w:t>
        </w:r>
      </w:hyperlink>
      <w:r w:rsidR="00E4359A">
        <w:rPr>
          <w:iCs/>
          <w:sz w:val="24"/>
          <w:szCs w:val="24"/>
        </w:rPr>
        <w:t xml:space="preserve"> Furthermore, the NPC-DRAP has also developed </w:t>
      </w:r>
      <w:hyperlink r:id="rId32" w:history="1">
        <w:r w:rsidR="00E4359A" w:rsidRPr="00E4359A">
          <w:rPr>
            <w:rStyle w:val="Hyperlink"/>
            <w:iCs/>
            <w:sz w:val="24"/>
            <w:szCs w:val="24"/>
          </w:rPr>
          <w:t>Guidelines on Pharmacovigilance for Public Health Programmes</w:t>
        </w:r>
      </w:hyperlink>
      <w:r w:rsidR="00E4359A">
        <w:rPr>
          <w:iCs/>
          <w:sz w:val="24"/>
          <w:szCs w:val="24"/>
        </w:rPr>
        <w:t xml:space="preserve"> available on the DRAP website.</w:t>
      </w:r>
    </w:p>
    <w:p w14:paraId="73D8B759" w14:textId="6EA01AA4" w:rsidR="00FC0B85" w:rsidRPr="00A62FAF" w:rsidRDefault="00FC0B85" w:rsidP="000C06BF">
      <w:pPr>
        <w:spacing w:before="120" w:after="120" w:line="360" w:lineRule="auto"/>
        <w:ind w:left="540"/>
        <w:jc w:val="both"/>
        <w:rPr>
          <w:iCs/>
          <w:sz w:val="24"/>
          <w:szCs w:val="24"/>
        </w:rPr>
      </w:pPr>
      <w:r w:rsidRPr="00A62FAF">
        <w:rPr>
          <w:iCs/>
          <w:sz w:val="24"/>
          <w:szCs w:val="24"/>
        </w:rPr>
        <w:t xml:space="preserve">At each public and private sector, secondary and tertiary care hospital, pharmacovigilance centres will be established by Provincial Health Departments and </w:t>
      </w:r>
      <w:r w:rsidR="00C160BF">
        <w:rPr>
          <w:iCs/>
          <w:sz w:val="24"/>
          <w:szCs w:val="24"/>
        </w:rPr>
        <w:t xml:space="preserve">the </w:t>
      </w:r>
      <w:r w:rsidRPr="00A62FAF">
        <w:rPr>
          <w:iCs/>
          <w:sz w:val="24"/>
          <w:szCs w:val="24"/>
        </w:rPr>
        <w:t xml:space="preserve">administration of private hospitals. Hospitals administration will nominate their Focal Persons for coordination with PPCs and regularly submit the pharmacovigilance data to PPC. Pharmacovigilance officers working in hospitals are responsible to collect and assess ADR/AE reports. Pharmacovigilance </w:t>
      </w:r>
      <w:r w:rsidR="00C0486F" w:rsidRPr="00A62FAF">
        <w:rPr>
          <w:iCs/>
          <w:sz w:val="24"/>
          <w:szCs w:val="24"/>
        </w:rPr>
        <w:t xml:space="preserve">Committees </w:t>
      </w:r>
      <w:r w:rsidRPr="00A62FAF">
        <w:rPr>
          <w:iCs/>
          <w:sz w:val="24"/>
          <w:szCs w:val="24"/>
        </w:rPr>
        <w:t xml:space="preserve">will also be established in hospitals for </w:t>
      </w:r>
      <w:r w:rsidR="00C160BF">
        <w:rPr>
          <w:iCs/>
          <w:sz w:val="24"/>
          <w:szCs w:val="24"/>
        </w:rPr>
        <w:t xml:space="preserve">the </w:t>
      </w:r>
      <w:r w:rsidRPr="00A62FAF">
        <w:rPr>
          <w:iCs/>
          <w:sz w:val="24"/>
          <w:szCs w:val="24"/>
        </w:rPr>
        <w:t>evaluation of data.</w:t>
      </w:r>
      <w:r w:rsidR="002105C7">
        <w:rPr>
          <w:iCs/>
          <w:sz w:val="24"/>
          <w:szCs w:val="24"/>
        </w:rPr>
        <w:t xml:space="preserve"> The responsibilities of public and private hospitals are defined in Rule 8 of </w:t>
      </w:r>
      <w:hyperlink r:id="rId33" w:history="1">
        <w:r w:rsidR="002105C7" w:rsidRPr="002105C7">
          <w:rPr>
            <w:rStyle w:val="Hyperlink"/>
            <w:iCs/>
            <w:sz w:val="24"/>
            <w:szCs w:val="24"/>
          </w:rPr>
          <w:t>Pharmacovigilance Rules, 2022.</w:t>
        </w:r>
      </w:hyperlink>
    </w:p>
    <w:p w14:paraId="4621C5DF" w14:textId="5B13DBA7" w:rsidR="000C06BF" w:rsidRDefault="00FC0B85" w:rsidP="000C06BF">
      <w:pPr>
        <w:spacing w:before="120" w:after="120" w:line="360" w:lineRule="auto"/>
        <w:ind w:left="540"/>
        <w:jc w:val="both"/>
        <w:rPr>
          <w:iCs/>
          <w:sz w:val="24"/>
          <w:szCs w:val="24"/>
        </w:rPr>
      </w:pPr>
      <w:r w:rsidRPr="00A62FAF">
        <w:rPr>
          <w:iCs/>
          <w:sz w:val="24"/>
          <w:szCs w:val="24"/>
        </w:rPr>
        <w:t xml:space="preserve">Registration </w:t>
      </w:r>
      <w:r w:rsidR="00C0486F" w:rsidRPr="00A62FAF">
        <w:rPr>
          <w:iCs/>
          <w:sz w:val="24"/>
          <w:szCs w:val="24"/>
        </w:rPr>
        <w:t xml:space="preserve">Holders </w:t>
      </w:r>
      <w:r w:rsidRPr="00A62FAF">
        <w:rPr>
          <w:iCs/>
          <w:sz w:val="24"/>
          <w:szCs w:val="24"/>
        </w:rPr>
        <w:t xml:space="preserve">will establish their pharmacovigilance system, nominate </w:t>
      </w:r>
      <w:r w:rsidR="00C160BF">
        <w:rPr>
          <w:iCs/>
          <w:sz w:val="24"/>
          <w:szCs w:val="24"/>
        </w:rPr>
        <w:t xml:space="preserve">a </w:t>
      </w:r>
      <w:r w:rsidRPr="00A62FAF">
        <w:rPr>
          <w:iCs/>
          <w:sz w:val="24"/>
          <w:szCs w:val="24"/>
        </w:rPr>
        <w:t xml:space="preserve">Qualified Person for Pharmacovigilance, maintain </w:t>
      </w:r>
      <w:r w:rsidR="00C0486F">
        <w:rPr>
          <w:iCs/>
          <w:sz w:val="24"/>
          <w:szCs w:val="24"/>
        </w:rPr>
        <w:t xml:space="preserve">the </w:t>
      </w:r>
      <w:r w:rsidRPr="00A62FAF">
        <w:rPr>
          <w:iCs/>
          <w:sz w:val="24"/>
          <w:szCs w:val="24"/>
        </w:rPr>
        <w:t>Pharmacovigilance System Master File (PSMF), collect and evaluate pharmacovigilance data, submit the data regularly to NPC, and perform other function</w:t>
      </w:r>
      <w:r w:rsidR="00C160BF">
        <w:rPr>
          <w:iCs/>
          <w:sz w:val="24"/>
          <w:szCs w:val="24"/>
        </w:rPr>
        <w:t>s</w:t>
      </w:r>
      <w:r w:rsidRPr="00A62FAF">
        <w:rPr>
          <w:iCs/>
          <w:sz w:val="24"/>
          <w:szCs w:val="24"/>
        </w:rPr>
        <w:t xml:space="preserve"> as</w:t>
      </w:r>
      <w:r w:rsidR="00D06D36">
        <w:rPr>
          <w:iCs/>
          <w:sz w:val="24"/>
          <w:szCs w:val="24"/>
        </w:rPr>
        <w:t xml:space="preserve"> per Rule 11 of the</w:t>
      </w:r>
      <w:r w:rsidRPr="00A62FAF">
        <w:rPr>
          <w:iCs/>
          <w:sz w:val="24"/>
          <w:szCs w:val="24"/>
        </w:rPr>
        <w:t xml:space="preserve"> </w:t>
      </w:r>
      <w:hyperlink r:id="rId34" w:history="1">
        <w:r w:rsidRPr="007D57C0">
          <w:rPr>
            <w:rStyle w:val="Hyperlink"/>
            <w:iCs/>
            <w:sz w:val="24"/>
            <w:szCs w:val="24"/>
          </w:rPr>
          <w:t>Pharmacovigilance Rules</w:t>
        </w:r>
        <w:r w:rsidR="00C160BF" w:rsidRPr="007D57C0">
          <w:rPr>
            <w:rStyle w:val="Hyperlink"/>
            <w:iCs/>
            <w:sz w:val="24"/>
            <w:szCs w:val="24"/>
          </w:rPr>
          <w:t>, 2022</w:t>
        </w:r>
        <w:r w:rsidRPr="007D57C0">
          <w:rPr>
            <w:rStyle w:val="Hyperlink"/>
            <w:iCs/>
            <w:sz w:val="24"/>
            <w:szCs w:val="24"/>
          </w:rPr>
          <w:t>.</w:t>
        </w:r>
      </w:hyperlink>
      <w:r w:rsidR="00D06D36">
        <w:rPr>
          <w:iCs/>
          <w:sz w:val="24"/>
          <w:szCs w:val="24"/>
        </w:rPr>
        <w:t xml:space="preserve"> Likewise, comprehensive </w:t>
      </w:r>
      <w:hyperlink r:id="rId35" w:history="1">
        <w:r w:rsidR="00FE4F24" w:rsidRPr="00D06D36">
          <w:rPr>
            <w:rStyle w:val="Hyperlink"/>
            <w:iCs/>
            <w:sz w:val="24"/>
            <w:szCs w:val="24"/>
          </w:rPr>
          <w:t>Guidelines on Good Pharmacovigilance Practices</w:t>
        </w:r>
      </w:hyperlink>
      <w:r w:rsidR="00D06D36">
        <w:rPr>
          <w:iCs/>
          <w:sz w:val="24"/>
          <w:szCs w:val="24"/>
        </w:rPr>
        <w:t xml:space="preserve"> are </w:t>
      </w:r>
      <w:r w:rsidR="00240974">
        <w:rPr>
          <w:iCs/>
          <w:sz w:val="24"/>
          <w:szCs w:val="24"/>
        </w:rPr>
        <w:t xml:space="preserve">also </w:t>
      </w:r>
      <w:r w:rsidR="00D06D36">
        <w:rPr>
          <w:iCs/>
          <w:sz w:val="24"/>
          <w:szCs w:val="24"/>
        </w:rPr>
        <w:t xml:space="preserve">prepared by the DRAP for registration holders. </w:t>
      </w:r>
    </w:p>
    <w:p w14:paraId="7A32C820" w14:textId="19A9543B" w:rsidR="00FC0B85" w:rsidRPr="00987889" w:rsidRDefault="000C06BF" w:rsidP="000C06BF">
      <w:pPr>
        <w:widowControl/>
        <w:spacing w:before="120" w:after="120" w:line="360" w:lineRule="auto"/>
        <w:jc w:val="both"/>
        <w:rPr>
          <w:iCs/>
          <w:sz w:val="24"/>
          <w:szCs w:val="24"/>
        </w:rPr>
      </w:pPr>
      <w:r>
        <w:rPr>
          <w:iCs/>
          <w:sz w:val="24"/>
          <w:szCs w:val="24"/>
        </w:rPr>
        <w:br w:type="page"/>
      </w:r>
    </w:p>
    <w:p w14:paraId="0EC97CEC" w14:textId="7D437AEF" w:rsidR="00FC0B85" w:rsidRPr="00272E6D" w:rsidRDefault="00987889" w:rsidP="00987889">
      <w:pPr>
        <w:rPr>
          <w:rFonts w:eastAsiaTheme="majorEastAsia"/>
          <w:b/>
          <w:bCs/>
          <w:sz w:val="28"/>
          <w:szCs w:val="28"/>
        </w:rPr>
      </w:pPr>
      <w:r w:rsidRPr="00272E6D">
        <w:rPr>
          <w:rFonts w:eastAsiaTheme="majorEastAsia"/>
          <w:b/>
          <w:bCs/>
          <w:sz w:val="28"/>
          <w:szCs w:val="28"/>
        </w:rPr>
        <w:lastRenderedPageBreak/>
        <w:t xml:space="preserve">1.9 </w:t>
      </w:r>
      <w:r w:rsidR="00FC0B85" w:rsidRPr="00272E6D">
        <w:rPr>
          <w:rFonts w:eastAsiaTheme="majorEastAsia"/>
          <w:b/>
          <w:bCs/>
          <w:sz w:val="28"/>
          <w:szCs w:val="28"/>
          <w:u w:val="single"/>
        </w:rPr>
        <w:t xml:space="preserve">Flow of </w:t>
      </w:r>
      <w:r w:rsidR="003A718E" w:rsidRPr="00272E6D">
        <w:rPr>
          <w:rFonts w:eastAsiaTheme="majorEastAsia"/>
          <w:b/>
          <w:bCs/>
          <w:sz w:val="28"/>
          <w:szCs w:val="28"/>
          <w:u w:val="single"/>
        </w:rPr>
        <w:t>reporting</w:t>
      </w:r>
    </w:p>
    <w:p w14:paraId="43257454" w14:textId="0DFD3285" w:rsidR="006F0D35" w:rsidRPr="006F0D35" w:rsidRDefault="006F0D35" w:rsidP="006F0D35">
      <w:r>
        <w:rPr>
          <w:noProof/>
        </w:rPr>
        <w:drawing>
          <wp:inline distT="0" distB="0" distL="0" distR="0" wp14:anchorId="6F711DC8" wp14:editId="5E5B7EE7">
            <wp:extent cx="6035386" cy="78105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38347" cy="7814332"/>
                    </a:xfrm>
                    <a:prstGeom prst="rect">
                      <a:avLst/>
                    </a:prstGeom>
                    <a:noFill/>
                    <a:ln>
                      <a:noFill/>
                    </a:ln>
                  </pic:spPr>
                </pic:pic>
              </a:graphicData>
            </a:graphic>
          </wp:inline>
        </w:drawing>
      </w:r>
    </w:p>
    <w:p w14:paraId="7C5C853F" w14:textId="10112C49" w:rsidR="000C06BF" w:rsidRDefault="000C06BF">
      <w:pPr>
        <w:widowControl/>
        <w:spacing w:before="120" w:after="120" w:line="360" w:lineRule="auto"/>
        <w:jc w:val="both"/>
        <w:rPr>
          <w:b/>
          <w:bCs/>
        </w:rPr>
      </w:pPr>
      <w:r>
        <w:rPr>
          <w:b/>
          <w:bCs/>
        </w:rPr>
        <w:br w:type="page"/>
      </w:r>
    </w:p>
    <w:p w14:paraId="7DDC9F9E" w14:textId="77777777" w:rsidR="00FC0B85" w:rsidRDefault="00FC0B85" w:rsidP="001E5D32">
      <w:pPr>
        <w:rPr>
          <w:b/>
          <w:bCs/>
        </w:rPr>
      </w:pPr>
    </w:p>
    <w:p w14:paraId="21300A68" w14:textId="407EE85C" w:rsidR="00FC0B85" w:rsidRPr="00272E6D" w:rsidRDefault="00987889" w:rsidP="000C06BF">
      <w:pPr>
        <w:spacing w:before="120" w:after="120" w:line="360" w:lineRule="auto"/>
        <w:rPr>
          <w:rFonts w:eastAsiaTheme="majorEastAsia"/>
          <w:b/>
          <w:sz w:val="28"/>
          <w:szCs w:val="28"/>
        </w:rPr>
      </w:pPr>
      <w:r w:rsidRPr="00272E6D">
        <w:rPr>
          <w:rFonts w:eastAsiaTheme="majorEastAsia"/>
          <w:b/>
          <w:sz w:val="28"/>
          <w:szCs w:val="28"/>
        </w:rPr>
        <w:t xml:space="preserve">1.10 </w:t>
      </w:r>
      <w:r w:rsidR="00FC0B85" w:rsidRPr="00272E6D">
        <w:rPr>
          <w:rFonts w:eastAsiaTheme="majorEastAsia"/>
          <w:b/>
          <w:sz w:val="28"/>
          <w:szCs w:val="28"/>
          <w:u w:val="single"/>
        </w:rPr>
        <w:t xml:space="preserve">Pharmacovigilance </w:t>
      </w:r>
      <w:r w:rsidR="003A718E" w:rsidRPr="00272E6D">
        <w:rPr>
          <w:rFonts w:eastAsiaTheme="majorEastAsia"/>
          <w:b/>
          <w:sz w:val="28"/>
          <w:szCs w:val="28"/>
          <w:u w:val="single"/>
        </w:rPr>
        <w:t xml:space="preserve">risk assessment expert committee </w:t>
      </w:r>
      <w:r w:rsidR="00FC0B85" w:rsidRPr="00272E6D">
        <w:rPr>
          <w:rFonts w:eastAsiaTheme="majorEastAsia"/>
          <w:b/>
          <w:sz w:val="28"/>
          <w:szCs w:val="28"/>
          <w:u w:val="single"/>
        </w:rPr>
        <w:t>(PRAEC).</w:t>
      </w:r>
    </w:p>
    <w:p w14:paraId="243CE0F4" w14:textId="4BC77794" w:rsidR="006F0D35" w:rsidRPr="000C06BF" w:rsidRDefault="006F0D35" w:rsidP="000C06BF">
      <w:pPr>
        <w:spacing w:before="120" w:after="120" w:line="360" w:lineRule="auto"/>
        <w:ind w:left="540"/>
        <w:jc w:val="both"/>
        <w:rPr>
          <w:rFonts w:eastAsiaTheme="minorHAnsi"/>
          <w:sz w:val="24"/>
          <w:szCs w:val="24"/>
          <w:lang w:val="en-US"/>
        </w:rPr>
      </w:pPr>
      <w:r w:rsidRPr="006F0D35">
        <w:rPr>
          <w:bCs/>
          <w:sz w:val="24"/>
          <w:szCs w:val="24"/>
        </w:rPr>
        <w:t xml:space="preserve">The PRAEC </w:t>
      </w:r>
      <w:r w:rsidR="00FB52FF" w:rsidRPr="006F0D35">
        <w:rPr>
          <w:bCs/>
          <w:sz w:val="24"/>
          <w:szCs w:val="24"/>
        </w:rPr>
        <w:t xml:space="preserve">Committee </w:t>
      </w:r>
      <w:r w:rsidR="004B0A87" w:rsidRPr="006F0D35">
        <w:rPr>
          <w:bCs/>
          <w:sz w:val="24"/>
          <w:szCs w:val="24"/>
        </w:rPr>
        <w:t>is</w:t>
      </w:r>
      <w:r w:rsidRPr="006F0D35">
        <w:rPr>
          <w:bCs/>
          <w:sz w:val="24"/>
          <w:szCs w:val="24"/>
        </w:rPr>
        <w:t xml:space="preserve"> notified</w:t>
      </w:r>
      <w:r w:rsidR="004B0A87" w:rsidRPr="006F0D35">
        <w:rPr>
          <w:bCs/>
          <w:sz w:val="24"/>
          <w:szCs w:val="24"/>
        </w:rPr>
        <w:t xml:space="preserve"> by the Drug Regulatory Authority of Pakistan (DRAP)</w:t>
      </w:r>
      <w:r w:rsidRPr="006F0D35">
        <w:rPr>
          <w:bCs/>
          <w:sz w:val="24"/>
          <w:szCs w:val="24"/>
        </w:rPr>
        <w:t xml:space="preserve"> under </w:t>
      </w:r>
      <w:r w:rsidR="00FB52FF" w:rsidRPr="006F0D35">
        <w:rPr>
          <w:bCs/>
          <w:sz w:val="24"/>
          <w:szCs w:val="24"/>
        </w:rPr>
        <w:t>Sub</w:t>
      </w:r>
      <w:r w:rsidRPr="006F0D35">
        <w:rPr>
          <w:bCs/>
          <w:sz w:val="24"/>
          <w:szCs w:val="24"/>
        </w:rPr>
        <w:t xml:space="preserve">-rule (1) of Rule 9 of the </w:t>
      </w:r>
      <w:hyperlink r:id="rId37" w:history="1">
        <w:r w:rsidRPr="00C903CB">
          <w:rPr>
            <w:rStyle w:val="Hyperlink"/>
            <w:bCs/>
            <w:sz w:val="24"/>
            <w:szCs w:val="24"/>
          </w:rPr>
          <w:t>Pharmacovigilance Rules, 2022</w:t>
        </w:r>
      </w:hyperlink>
      <w:r w:rsidR="004B0A87" w:rsidRPr="006F0D35">
        <w:rPr>
          <w:bCs/>
          <w:sz w:val="24"/>
          <w:szCs w:val="24"/>
        </w:rPr>
        <w:t xml:space="preserve"> </w:t>
      </w:r>
      <w:r w:rsidRPr="006F0D35">
        <w:rPr>
          <w:rFonts w:eastAsiaTheme="minorHAnsi"/>
          <w:sz w:val="24"/>
          <w:szCs w:val="24"/>
          <w:lang w:val="en-US"/>
        </w:rPr>
        <w:t xml:space="preserve">for risk management associated with the use of therapeutic </w:t>
      </w:r>
      <w:proofErr w:type="spellStart"/>
      <w:r w:rsidRPr="006F0D35">
        <w:rPr>
          <w:rFonts w:eastAsiaTheme="minorHAnsi"/>
          <w:sz w:val="24"/>
          <w:szCs w:val="24"/>
          <w:lang w:val="en-US"/>
        </w:rPr>
        <w:t>goods,i.e</w:t>
      </w:r>
      <w:proofErr w:type="spellEnd"/>
      <w:r w:rsidRPr="006F0D35">
        <w:rPr>
          <w:rFonts w:eastAsiaTheme="minorHAnsi"/>
          <w:sz w:val="24"/>
          <w:szCs w:val="24"/>
          <w:lang w:val="en-US"/>
        </w:rPr>
        <w:t>. signal detection, causality assessment, risk minimization, communication</w:t>
      </w:r>
      <w:r w:rsidR="00C14EFF">
        <w:rPr>
          <w:rFonts w:eastAsiaTheme="minorHAnsi"/>
          <w:sz w:val="24"/>
          <w:szCs w:val="24"/>
          <w:lang w:val="en-US"/>
        </w:rPr>
        <w:t>-</w:t>
      </w:r>
      <w:r w:rsidRPr="006F0D35">
        <w:rPr>
          <w:rFonts w:eastAsiaTheme="minorHAnsi"/>
          <w:sz w:val="24"/>
          <w:szCs w:val="24"/>
          <w:lang w:val="en-US"/>
        </w:rPr>
        <w:t xml:space="preserve">related to </w:t>
      </w:r>
      <w:r w:rsidR="00C14EFF">
        <w:rPr>
          <w:rFonts w:eastAsiaTheme="minorHAnsi"/>
          <w:sz w:val="24"/>
          <w:szCs w:val="24"/>
          <w:lang w:val="en-US"/>
        </w:rPr>
        <w:t xml:space="preserve">the </w:t>
      </w:r>
      <w:r w:rsidRPr="006F0D35">
        <w:rPr>
          <w:rFonts w:eastAsiaTheme="minorHAnsi"/>
          <w:sz w:val="24"/>
          <w:szCs w:val="24"/>
          <w:lang w:val="en-US"/>
        </w:rPr>
        <w:t>risk</w:t>
      </w:r>
      <w:r w:rsidRPr="006F0D35">
        <w:rPr>
          <w:bCs/>
          <w:sz w:val="24"/>
          <w:szCs w:val="24"/>
        </w:rPr>
        <w:t xml:space="preserve"> </w:t>
      </w:r>
      <w:r w:rsidRPr="006F0D35">
        <w:rPr>
          <w:rFonts w:eastAsiaTheme="minorHAnsi"/>
          <w:sz w:val="24"/>
          <w:szCs w:val="24"/>
          <w:lang w:val="en-US"/>
        </w:rPr>
        <w:t>of adverse events and evaluation of periodic reports etc.</w:t>
      </w:r>
      <w:r w:rsidR="00C14EFF">
        <w:rPr>
          <w:rFonts w:eastAsiaTheme="minorHAnsi"/>
          <w:sz w:val="24"/>
          <w:szCs w:val="24"/>
          <w:lang w:val="en-US"/>
        </w:rPr>
        <w:t xml:space="preserve"> </w:t>
      </w:r>
      <w:r w:rsidRPr="006F0D35">
        <w:rPr>
          <w:rFonts w:eastAsiaTheme="minorHAnsi"/>
          <w:sz w:val="24"/>
          <w:szCs w:val="24"/>
          <w:lang w:val="en-US"/>
        </w:rPr>
        <w:t>This committee shall ensure that risks associated with the use of therapeutic goods are detected as early as possible and take necessary steps to minimize these risks and give recommendations to the conce</w:t>
      </w:r>
      <w:r w:rsidR="00C14EFF">
        <w:rPr>
          <w:rFonts w:eastAsiaTheme="minorHAnsi"/>
          <w:sz w:val="24"/>
          <w:szCs w:val="24"/>
          <w:lang w:val="en-US"/>
        </w:rPr>
        <w:t>rn</w:t>
      </w:r>
      <w:r w:rsidRPr="006F0D35">
        <w:rPr>
          <w:rFonts w:eastAsiaTheme="minorHAnsi"/>
          <w:sz w:val="24"/>
          <w:szCs w:val="24"/>
          <w:lang w:val="en-US"/>
        </w:rPr>
        <w:t>ed Board or Committee for further regulatory actions.</w:t>
      </w:r>
      <w:r w:rsidR="00C14EFF">
        <w:rPr>
          <w:rFonts w:eastAsiaTheme="minorHAnsi"/>
          <w:sz w:val="24"/>
          <w:szCs w:val="24"/>
          <w:lang w:val="en-US"/>
        </w:rPr>
        <w:t xml:space="preserve"> </w:t>
      </w:r>
      <w:r w:rsidRPr="006F0D35">
        <w:rPr>
          <w:rFonts w:eastAsiaTheme="minorHAnsi"/>
          <w:sz w:val="24"/>
          <w:szCs w:val="24"/>
          <w:lang w:val="en-US"/>
        </w:rPr>
        <w:t xml:space="preserve">The composition of PRAEC as per </w:t>
      </w:r>
      <w:r w:rsidRPr="006F0D35">
        <w:rPr>
          <w:bCs/>
          <w:sz w:val="24"/>
          <w:szCs w:val="24"/>
        </w:rPr>
        <w:t>sub</w:t>
      </w:r>
      <w:r w:rsidR="00C14EFF">
        <w:rPr>
          <w:bCs/>
          <w:sz w:val="24"/>
          <w:szCs w:val="24"/>
        </w:rPr>
        <w:t>-</w:t>
      </w:r>
      <w:r w:rsidRPr="006F0D35">
        <w:rPr>
          <w:bCs/>
          <w:sz w:val="24"/>
          <w:szCs w:val="24"/>
        </w:rPr>
        <w:t xml:space="preserve">rule (3) of Rule 9 of </w:t>
      </w:r>
      <w:hyperlink r:id="rId38" w:history="1">
        <w:r w:rsidRPr="00545569">
          <w:rPr>
            <w:rStyle w:val="Hyperlink"/>
            <w:bCs/>
            <w:sz w:val="24"/>
            <w:szCs w:val="24"/>
          </w:rPr>
          <w:t>Pharmacovigilance Rules, 2022</w:t>
        </w:r>
      </w:hyperlink>
      <w:r w:rsidRPr="006F0D35">
        <w:rPr>
          <w:bCs/>
          <w:sz w:val="24"/>
          <w:szCs w:val="24"/>
        </w:rPr>
        <w:t xml:space="preserve"> is as under:</w:t>
      </w:r>
    </w:p>
    <w:p w14:paraId="272EA796" w14:textId="67C39E9C" w:rsidR="004024B3" w:rsidRPr="00420FD6" w:rsidRDefault="004024B3" w:rsidP="00B551AA">
      <w:pPr>
        <w:pStyle w:val="NormalWeb"/>
        <w:numPr>
          <w:ilvl w:val="0"/>
          <w:numId w:val="8"/>
        </w:numPr>
        <w:spacing w:before="120" w:beforeAutospacing="0" w:after="120" w:afterAutospacing="0" w:line="360" w:lineRule="auto"/>
        <w:ind w:left="1260" w:right="245"/>
        <w:jc w:val="both"/>
        <w:rPr>
          <w:bCs/>
          <w:iCs/>
        </w:rPr>
      </w:pPr>
      <w:r>
        <w:rPr>
          <w:bCs/>
          <w:iCs/>
        </w:rPr>
        <w:t xml:space="preserve">Chairman of the committee to </w:t>
      </w:r>
      <w:r w:rsidR="00C14EFF">
        <w:rPr>
          <w:bCs/>
          <w:iCs/>
        </w:rPr>
        <w:t xml:space="preserve">be </w:t>
      </w:r>
      <w:r>
        <w:rPr>
          <w:bCs/>
          <w:iCs/>
        </w:rPr>
        <w:t>notified by DRAP from the members of PRAEC;</w:t>
      </w:r>
    </w:p>
    <w:p w14:paraId="43DFFAC3" w14:textId="464E36F3"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sidRPr="00420FD6">
        <w:rPr>
          <w:bCs/>
          <w:iCs/>
        </w:rPr>
        <w:t>Director,</w:t>
      </w:r>
      <w:r>
        <w:rPr>
          <w:bCs/>
          <w:iCs/>
        </w:rPr>
        <w:t xml:space="preserve"> Division of </w:t>
      </w:r>
      <w:r w:rsidRPr="00420FD6">
        <w:rPr>
          <w:bCs/>
          <w:iCs/>
        </w:rPr>
        <w:t>Pharmacy Services</w:t>
      </w:r>
      <w:r>
        <w:rPr>
          <w:bCs/>
          <w:iCs/>
        </w:rPr>
        <w:t>, as Ex-Officio Co-Chair;</w:t>
      </w:r>
    </w:p>
    <w:p w14:paraId="02A3D972" w14:textId="2858BB8E" w:rsidR="004024B3" w:rsidRPr="00420FD6"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Additional Director or Deputy Director, Division of Pharmacy Services, or Pharmacovigilance to be nominated by Authority as its Ex-Officio Secretary plus member;</w:t>
      </w:r>
    </w:p>
    <w:p w14:paraId="62D98C48" w14:textId="018DE513" w:rsidR="004024B3" w:rsidRPr="00420FD6"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sidRPr="00420FD6">
        <w:rPr>
          <w:bCs/>
          <w:iCs/>
        </w:rPr>
        <w:t xml:space="preserve">One professor </w:t>
      </w:r>
      <w:r>
        <w:rPr>
          <w:bCs/>
          <w:iCs/>
        </w:rPr>
        <w:t xml:space="preserve">of </w:t>
      </w:r>
      <w:r w:rsidRPr="00420FD6">
        <w:rPr>
          <w:bCs/>
          <w:iCs/>
        </w:rPr>
        <w:t xml:space="preserve">pharmacy practice to be nominated by </w:t>
      </w:r>
      <w:r>
        <w:rPr>
          <w:bCs/>
          <w:iCs/>
        </w:rPr>
        <w:t>DRAP (member);</w:t>
      </w:r>
    </w:p>
    <w:p w14:paraId="4EE783E5" w14:textId="3D246F44"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Expert in</w:t>
      </w:r>
      <w:r w:rsidRPr="00420FD6">
        <w:rPr>
          <w:bCs/>
          <w:iCs/>
        </w:rPr>
        <w:t xml:space="preserve"> </w:t>
      </w:r>
      <w:r>
        <w:rPr>
          <w:bCs/>
          <w:iCs/>
        </w:rPr>
        <w:t>basic</w:t>
      </w:r>
      <w:r w:rsidRPr="00420FD6">
        <w:rPr>
          <w:bCs/>
          <w:iCs/>
        </w:rPr>
        <w:t xml:space="preserve"> pharmacology </w:t>
      </w:r>
      <w:r>
        <w:rPr>
          <w:bCs/>
          <w:iCs/>
        </w:rPr>
        <w:t>having at least ten-year experience</w:t>
      </w:r>
      <w:r w:rsidRPr="00420FD6">
        <w:rPr>
          <w:bCs/>
          <w:iCs/>
        </w:rPr>
        <w:t xml:space="preserve"> to be nominated by DRAP</w:t>
      </w:r>
      <w:r>
        <w:rPr>
          <w:bCs/>
          <w:iCs/>
        </w:rPr>
        <w:t xml:space="preserve"> (member);</w:t>
      </w:r>
    </w:p>
    <w:p w14:paraId="22BBBB97" w14:textId="43DF6342" w:rsidR="004024B3" w:rsidRPr="00FF21DC"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 xml:space="preserve">Expert </w:t>
      </w:r>
      <w:r w:rsidRPr="00420FD6">
        <w:rPr>
          <w:bCs/>
          <w:iCs/>
        </w:rPr>
        <w:t xml:space="preserve">of clinical pharmacology </w:t>
      </w:r>
      <w:r>
        <w:rPr>
          <w:bCs/>
          <w:iCs/>
        </w:rPr>
        <w:t>having at least ten-year experience</w:t>
      </w:r>
      <w:r w:rsidRPr="00420FD6">
        <w:rPr>
          <w:bCs/>
          <w:iCs/>
        </w:rPr>
        <w:t xml:space="preserve"> to be nominated by </w:t>
      </w:r>
      <w:proofErr w:type="gramStart"/>
      <w:r w:rsidRPr="00420FD6">
        <w:rPr>
          <w:bCs/>
          <w:iCs/>
        </w:rPr>
        <w:t>DRAP</w:t>
      </w:r>
      <w:r>
        <w:rPr>
          <w:bCs/>
          <w:iCs/>
        </w:rPr>
        <w:t>(</w:t>
      </w:r>
      <w:proofErr w:type="gramEnd"/>
      <w:r>
        <w:rPr>
          <w:bCs/>
          <w:iCs/>
        </w:rPr>
        <w:t>member);</w:t>
      </w:r>
    </w:p>
    <w:p w14:paraId="171849B4" w14:textId="68AA688F"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 xml:space="preserve">Expert of clinical pharmacy or clinical pharmacist having at least ten-year experience in a hospital to be notified by </w:t>
      </w:r>
      <w:proofErr w:type="gramStart"/>
      <w:r>
        <w:rPr>
          <w:bCs/>
          <w:iCs/>
        </w:rPr>
        <w:t>DRAP(</w:t>
      </w:r>
      <w:proofErr w:type="gramEnd"/>
      <w:r>
        <w:rPr>
          <w:bCs/>
          <w:iCs/>
        </w:rPr>
        <w:t>member);</w:t>
      </w:r>
    </w:p>
    <w:p w14:paraId="19D03A90" w14:textId="22F2FC17"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 xml:space="preserve">Expert of medicine or medical specialist having at least ten-year experience in a hospital to be nominated by </w:t>
      </w:r>
      <w:proofErr w:type="gramStart"/>
      <w:r>
        <w:rPr>
          <w:bCs/>
          <w:iCs/>
        </w:rPr>
        <w:t>DRAP(</w:t>
      </w:r>
      <w:proofErr w:type="gramEnd"/>
      <w:r>
        <w:rPr>
          <w:bCs/>
          <w:iCs/>
        </w:rPr>
        <w:t>member);</w:t>
      </w:r>
    </w:p>
    <w:p w14:paraId="64635451" w14:textId="309AF030"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 xml:space="preserve">Expert of epidemiology or pharmacoepidemiology having at least ten-year experience to be nominated by </w:t>
      </w:r>
      <w:proofErr w:type="gramStart"/>
      <w:r>
        <w:rPr>
          <w:bCs/>
          <w:iCs/>
        </w:rPr>
        <w:t>DRAP(</w:t>
      </w:r>
      <w:proofErr w:type="gramEnd"/>
      <w:r>
        <w:rPr>
          <w:bCs/>
          <w:iCs/>
        </w:rPr>
        <w:t>member);</w:t>
      </w:r>
    </w:p>
    <w:p w14:paraId="51A6957F" w14:textId="04FDC551" w:rsidR="004024B3" w:rsidRPr="00CE5585"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 xml:space="preserve">Expert of toxicology or forensic medicines having at least ten-year experience to be nominated by </w:t>
      </w:r>
      <w:proofErr w:type="gramStart"/>
      <w:r>
        <w:rPr>
          <w:bCs/>
          <w:iCs/>
        </w:rPr>
        <w:t>DRAP(</w:t>
      </w:r>
      <w:proofErr w:type="gramEnd"/>
      <w:r>
        <w:rPr>
          <w:bCs/>
          <w:iCs/>
        </w:rPr>
        <w:t>member);</w:t>
      </w:r>
    </w:p>
    <w:p w14:paraId="7EC1FC74" w14:textId="653C487B"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lastRenderedPageBreak/>
        <w:t>Expert of p</w:t>
      </w:r>
      <w:r w:rsidRPr="00420FD6">
        <w:rPr>
          <w:bCs/>
          <w:iCs/>
        </w:rPr>
        <w:t>harmacovigilance</w:t>
      </w:r>
      <w:r>
        <w:rPr>
          <w:bCs/>
          <w:iCs/>
        </w:rPr>
        <w:t xml:space="preserve"> at least ten-year experience in the conduct of pharmacovigilance activities to be nominated by </w:t>
      </w:r>
      <w:proofErr w:type="gramStart"/>
      <w:r>
        <w:rPr>
          <w:bCs/>
          <w:iCs/>
        </w:rPr>
        <w:t>DRAP(</w:t>
      </w:r>
      <w:proofErr w:type="gramEnd"/>
      <w:r>
        <w:rPr>
          <w:bCs/>
          <w:iCs/>
        </w:rPr>
        <w:t>member);</w:t>
      </w:r>
    </w:p>
    <w:p w14:paraId="72FEEDBE" w14:textId="551F9780"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Expert of c</w:t>
      </w:r>
      <w:r w:rsidRPr="00420FD6">
        <w:rPr>
          <w:bCs/>
          <w:iCs/>
        </w:rPr>
        <w:t xml:space="preserve">linical </w:t>
      </w:r>
      <w:r>
        <w:rPr>
          <w:bCs/>
          <w:iCs/>
        </w:rPr>
        <w:t xml:space="preserve">trials or drug research having at least ten-year experience to be nominated by </w:t>
      </w:r>
      <w:proofErr w:type="gramStart"/>
      <w:r>
        <w:rPr>
          <w:bCs/>
          <w:iCs/>
        </w:rPr>
        <w:t>DRAP(</w:t>
      </w:r>
      <w:proofErr w:type="gramEnd"/>
      <w:r>
        <w:rPr>
          <w:bCs/>
          <w:iCs/>
        </w:rPr>
        <w:t>member);</w:t>
      </w:r>
    </w:p>
    <w:p w14:paraId="55E6D893" w14:textId="70083AED" w:rsid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Pr>
          <w:bCs/>
          <w:iCs/>
        </w:rPr>
        <w:t>Expert of b</w:t>
      </w:r>
      <w:r w:rsidRPr="00420FD6">
        <w:rPr>
          <w:bCs/>
          <w:iCs/>
        </w:rPr>
        <w:t>iological</w:t>
      </w:r>
      <w:r>
        <w:rPr>
          <w:bCs/>
          <w:iCs/>
        </w:rPr>
        <w:t xml:space="preserve">s </w:t>
      </w:r>
      <w:r w:rsidRPr="0076218E">
        <w:rPr>
          <w:bCs/>
          <w:iCs/>
        </w:rPr>
        <w:t>having</w:t>
      </w:r>
      <w:r>
        <w:rPr>
          <w:bCs/>
          <w:iCs/>
        </w:rPr>
        <w:t xml:space="preserve"> at least ten-year experience to be nominated by </w:t>
      </w:r>
      <w:proofErr w:type="gramStart"/>
      <w:r>
        <w:rPr>
          <w:bCs/>
          <w:iCs/>
        </w:rPr>
        <w:t>DRAP(</w:t>
      </w:r>
      <w:proofErr w:type="gramEnd"/>
      <w:r>
        <w:rPr>
          <w:bCs/>
          <w:iCs/>
        </w:rPr>
        <w:t>member);</w:t>
      </w:r>
      <w:r w:rsidR="00C14EFF">
        <w:rPr>
          <w:bCs/>
          <w:iCs/>
        </w:rPr>
        <w:t xml:space="preserve"> </w:t>
      </w:r>
      <w:r>
        <w:rPr>
          <w:bCs/>
          <w:iCs/>
        </w:rPr>
        <w:t>and</w:t>
      </w:r>
    </w:p>
    <w:p w14:paraId="23C3AA8F" w14:textId="1B97BFC0" w:rsidR="004B0A87" w:rsidRPr="004024B3" w:rsidRDefault="004024B3" w:rsidP="00B551AA">
      <w:pPr>
        <w:pStyle w:val="NormalWeb"/>
        <w:numPr>
          <w:ilvl w:val="0"/>
          <w:numId w:val="8"/>
        </w:numPr>
        <w:tabs>
          <w:tab w:val="left" w:pos="0"/>
        </w:tabs>
        <w:spacing w:before="120" w:beforeAutospacing="0" w:after="120" w:afterAutospacing="0" w:line="360" w:lineRule="auto"/>
        <w:ind w:left="1260" w:right="245"/>
        <w:jc w:val="both"/>
        <w:rPr>
          <w:bCs/>
          <w:iCs/>
        </w:rPr>
      </w:pPr>
      <w:r w:rsidRPr="004024B3">
        <w:rPr>
          <w:bCs/>
          <w:iCs/>
        </w:rPr>
        <w:t xml:space="preserve">Expert of biostatistics having at least ten-year experience to be nominated by </w:t>
      </w:r>
      <w:proofErr w:type="gramStart"/>
      <w:r w:rsidRPr="004024B3">
        <w:rPr>
          <w:bCs/>
          <w:iCs/>
        </w:rPr>
        <w:t>DRAP</w:t>
      </w:r>
      <w:r>
        <w:rPr>
          <w:bCs/>
          <w:iCs/>
        </w:rPr>
        <w:t>(</w:t>
      </w:r>
      <w:proofErr w:type="gramEnd"/>
      <w:r>
        <w:rPr>
          <w:bCs/>
          <w:iCs/>
        </w:rPr>
        <w:t>member).</w:t>
      </w:r>
    </w:p>
    <w:p w14:paraId="2472F842" w14:textId="7BA47ACE" w:rsidR="004B0A87" w:rsidRPr="00E90AF9" w:rsidRDefault="004B0A87" w:rsidP="000C06BF">
      <w:pPr>
        <w:spacing w:before="120" w:after="120" w:line="360" w:lineRule="auto"/>
        <w:ind w:left="540"/>
        <w:jc w:val="both"/>
        <w:rPr>
          <w:bCs/>
          <w:sz w:val="24"/>
          <w:szCs w:val="24"/>
        </w:rPr>
      </w:pPr>
      <w:r w:rsidRPr="00E90AF9">
        <w:rPr>
          <w:bCs/>
          <w:sz w:val="24"/>
          <w:szCs w:val="24"/>
        </w:rPr>
        <w:t>As per Rule.10 of Pharmacovigilance Rules</w:t>
      </w:r>
      <w:r w:rsidR="004024B3">
        <w:rPr>
          <w:bCs/>
          <w:sz w:val="24"/>
          <w:szCs w:val="24"/>
        </w:rPr>
        <w:t>, 2022</w:t>
      </w:r>
      <w:r w:rsidR="00567F53">
        <w:rPr>
          <w:bCs/>
          <w:sz w:val="24"/>
          <w:szCs w:val="24"/>
        </w:rPr>
        <w:t xml:space="preserve">, </w:t>
      </w:r>
      <w:r w:rsidR="00C14EFF">
        <w:rPr>
          <w:bCs/>
          <w:sz w:val="24"/>
          <w:szCs w:val="24"/>
        </w:rPr>
        <w:t xml:space="preserve">the </w:t>
      </w:r>
      <w:r w:rsidR="00567F53">
        <w:rPr>
          <w:bCs/>
          <w:sz w:val="24"/>
          <w:szCs w:val="24"/>
        </w:rPr>
        <w:t>following are the func</w:t>
      </w:r>
      <w:r w:rsidR="00C14EFF">
        <w:rPr>
          <w:bCs/>
          <w:sz w:val="24"/>
          <w:szCs w:val="24"/>
        </w:rPr>
        <w:t>tions</w:t>
      </w:r>
      <w:r w:rsidR="00567F53">
        <w:rPr>
          <w:bCs/>
          <w:sz w:val="24"/>
          <w:szCs w:val="24"/>
        </w:rPr>
        <w:t xml:space="preserve"> of PRAEC</w:t>
      </w:r>
      <w:r w:rsidR="00053372">
        <w:rPr>
          <w:bCs/>
          <w:sz w:val="24"/>
          <w:szCs w:val="24"/>
        </w:rPr>
        <w:t>, namely</w:t>
      </w:r>
      <w:r w:rsidR="00567F53">
        <w:rPr>
          <w:bCs/>
          <w:sz w:val="24"/>
          <w:szCs w:val="24"/>
        </w:rPr>
        <w:t>:</w:t>
      </w:r>
    </w:p>
    <w:p w14:paraId="6B56F26E" w14:textId="61B43F6B" w:rsidR="00053372" w:rsidRPr="00053372"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iCs/>
          <w:sz w:val="24"/>
          <w:szCs w:val="24"/>
        </w:rPr>
        <w:t>Cover all aspects of risk management associated with the use of therapeutic goods, i.e. signal detection, assessment, risk minimization and communication related to risks of adverse drug reaction</w:t>
      </w:r>
      <w:r w:rsidR="00FB52FF">
        <w:rPr>
          <w:iCs/>
          <w:sz w:val="24"/>
          <w:szCs w:val="24"/>
        </w:rPr>
        <w:t>s</w:t>
      </w:r>
      <w:r w:rsidRPr="00053372">
        <w:rPr>
          <w:iCs/>
          <w:sz w:val="24"/>
          <w:szCs w:val="24"/>
        </w:rPr>
        <w:t>;</w:t>
      </w:r>
    </w:p>
    <w:p w14:paraId="20B99159" w14:textId="36F83859" w:rsidR="00053372" w:rsidRPr="00053372"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bCs/>
          <w:iCs/>
          <w:sz w:val="24"/>
          <w:szCs w:val="24"/>
        </w:rPr>
        <w:t>Perform the initial analysis and prioritization of signals which are detected and validated by NPC;</w:t>
      </w:r>
    </w:p>
    <w:p w14:paraId="0E2BE8A0" w14:textId="09995904" w:rsidR="00053372" w:rsidRPr="00053372"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sz w:val="24"/>
          <w:szCs w:val="24"/>
        </w:rPr>
        <w:t>Recommend to NPC to inform pharmacovigilance stakeholders through available means regarding pharmacovigilance relev</w:t>
      </w:r>
      <w:r w:rsidR="00FB52FF">
        <w:rPr>
          <w:sz w:val="24"/>
          <w:szCs w:val="24"/>
        </w:rPr>
        <w:t>a</w:t>
      </w:r>
      <w:r w:rsidRPr="00053372">
        <w:rPr>
          <w:sz w:val="24"/>
          <w:szCs w:val="24"/>
        </w:rPr>
        <w:t xml:space="preserve">nt regulatory actions; </w:t>
      </w:r>
    </w:p>
    <w:p w14:paraId="65DCC90C" w14:textId="02398F63" w:rsidR="00053372" w:rsidRPr="00053372"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bCs/>
          <w:iCs/>
          <w:sz w:val="24"/>
          <w:szCs w:val="24"/>
        </w:rPr>
        <w:t>Evaluate and assess PBRER and RMP or nominate a panel of experts or appoint a rapporteur for this purpose;</w:t>
      </w:r>
    </w:p>
    <w:p w14:paraId="79CE2E35" w14:textId="6356A675" w:rsidR="00053372" w:rsidRPr="00053372"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bCs/>
          <w:iCs/>
          <w:sz w:val="24"/>
          <w:szCs w:val="24"/>
        </w:rPr>
        <w:t>Recommend a regulatory or necessary remedial action to the concerned Board, Committee or Division after assessment of pharmacovigilance data;</w:t>
      </w:r>
    </w:p>
    <w:p w14:paraId="0E3CB930" w14:textId="5AF89D6F" w:rsidR="00053372" w:rsidRPr="00053372"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bCs/>
          <w:sz w:val="24"/>
          <w:szCs w:val="24"/>
        </w:rPr>
        <w:t>Imposition of PASS and PAES studies on registration holders through registration board as a result of safety concern</w:t>
      </w:r>
      <w:r w:rsidR="00FB52FF">
        <w:rPr>
          <w:bCs/>
          <w:sz w:val="24"/>
          <w:szCs w:val="24"/>
        </w:rPr>
        <w:t>s</w:t>
      </w:r>
      <w:r w:rsidRPr="00053372">
        <w:rPr>
          <w:bCs/>
          <w:sz w:val="24"/>
          <w:szCs w:val="24"/>
        </w:rPr>
        <w:t>;</w:t>
      </w:r>
    </w:p>
    <w:p w14:paraId="438C50D8" w14:textId="38246CDC" w:rsidR="00053372" w:rsidRPr="00053372"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bCs/>
          <w:iCs/>
          <w:sz w:val="24"/>
          <w:szCs w:val="24"/>
        </w:rPr>
        <w:t>consider or recognize and if deemed appropriate shall implement within Pakistan the pharmacovigilance relevant decisions of other countries and of regional and international bodies;</w:t>
      </w:r>
      <w:r>
        <w:rPr>
          <w:bCs/>
          <w:iCs/>
          <w:sz w:val="24"/>
          <w:szCs w:val="24"/>
        </w:rPr>
        <w:t xml:space="preserve"> and</w:t>
      </w:r>
    </w:p>
    <w:p w14:paraId="62D700CC" w14:textId="3F853168" w:rsidR="00D26393" w:rsidRPr="00987889" w:rsidRDefault="00053372" w:rsidP="00B551AA">
      <w:pPr>
        <w:pStyle w:val="ListParagraph"/>
        <w:widowControl/>
        <w:numPr>
          <w:ilvl w:val="0"/>
          <w:numId w:val="9"/>
        </w:numPr>
        <w:spacing w:before="120" w:after="120" w:line="360" w:lineRule="auto"/>
        <w:ind w:left="1260"/>
        <w:contextualSpacing w:val="0"/>
        <w:jc w:val="both"/>
        <w:rPr>
          <w:bCs/>
          <w:sz w:val="24"/>
          <w:szCs w:val="24"/>
        </w:rPr>
      </w:pPr>
      <w:r w:rsidRPr="00053372">
        <w:rPr>
          <w:bCs/>
          <w:iCs/>
          <w:sz w:val="24"/>
          <w:szCs w:val="24"/>
        </w:rPr>
        <w:t>Approve nomination of a team for good pharmacovigilance practices inspection of registration holders</w:t>
      </w:r>
      <w:r>
        <w:rPr>
          <w:bCs/>
          <w:iCs/>
          <w:sz w:val="24"/>
          <w:szCs w:val="24"/>
        </w:rPr>
        <w:t>.</w:t>
      </w:r>
    </w:p>
    <w:p w14:paraId="03A37961" w14:textId="77777777" w:rsidR="00D26393" w:rsidRPr="00053372" w:rsidRDefault="00D26393" w:rsidP="00D26393">
      <w:pPr>
        <w:pStyle w:val="ListParagraph"/>
        <w:widowControl/>
        <w:spacing w:after="120" w:line="276" w:lineRule="auto"/>
        <w:ind w:left="1714"/>
        <w:contextualSpacing w:val="0"/>
        <w:jc w:val="both"/>
        <w:rPr>
          <w:bCs/>
          <w:sz w:val="24"/>
          <w:szCs w:val="24"/>
        </w:rPr>
      </w:pPr>
    </w:p>
    <w:p w14:paraId="4D6CBB08" w14:textId="19673372" w:rsidR="00FC0B85" w:rsidRPr="00DE71A1" w:rsidRDefault="00987889" w:rsidP="00987889">
      <w:pPr>
        <w:rPr>
          <w:rFonts w:eastAsiaTheme="majorEastAsia"/>
          <w:b/>
          <w:bCs/>
          <w:sz w:val="28"/>
          <w:szCs w:val="28"/>
        </w:rPr>
      </w:pPr>
      <w:r w:rsidRPr="00DE71A1">
        <w:rPr>
          <w:rFonts w:eastAsiaTheme="majorEastAsia"/>
          <w:b/>
          <w:bCs/>
          <w:sz w:val="28"/>
          <w:szCs w:val="28"/>
        </w:rPr>
        <w:t xml:space="preserve">1.11 </w:t>
      </w:r>
      <w:r w:rsidR="00FC0B85" w:rsidRPr="00DE71A1">
        <w:rPr>
          <w:rFonts w:eastAsiaTheme="majorEastAsia"/>
          <w:b/>
          <w:bCs/>
          <w:sz w:val="28"/>
          <w:szCs w:val="28"/>
          <w:u w:val="single"/>
        </w:rPr>
        <w:t>Organogram of National Pharmacovigilance Centre</w:t>
      </w:r>
    </w:p>
    <w:p w14:paraId="0C312C4A" w14:textId="2486B640" w:rsidR="004B0A87" w:rsidRPr="004B0A87" w:rsidRDefault="00A31FED" w:rsidP="004B0A87">
      <w:r>
        <w:rPr>
          <w:noProof/>
        </w:rPr>
        <w:drawing>
          <wp:inline distT="0" distB="0" distL="0" distR="0" wp14:anchorId="64F8C748" wp14:editId="54B1648E">
            <wp:extent cx="5943600" cy="576478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764786"/>
                    </a:xfrm>
                    <a:prstGeom prst="rect">
                      <a:avLst/>
                    </a:prstGeom>
                    <a:noFill/>
                    <a:ln>
                      <a:noFill/>
                    </a:ln>
                  </pic:spPr>
                </pic:pic>
              </a:graphicData>
            </a:graphic>
          </wp:inline>
        </w:drawing>
      </w:r>
    </w:p>
    <w:p w14:paraId="7A8621FF" w14:textId="317425BA" w:rsidR="00FC0B85" w:rsidRDefault="00FC0B85" w:rsidP="001E5D32">
      <w:pPr>
        <w:rPr>
          <w:b/>
          <w:bCs/>
        </w:rPr>
      </w:pPr>
    </w:p>
    <w:p w14:paraId="4FD81FD8" w14:textId="314A820D" w:rsidR="00D26393" w:rsidRDefault="00D26393" w:rsidP="001E5D32">
      <w:pPr>
        <w:rPr>
          <w:b/>
          <w:bCs/>
        </w:rPr>
      </w:pPr>
    </w:p>
    <w:p w14:paraId="126C0BBC" w14:textId="560AEB0F" w:rsidR="00D26393" w:rsidRDefault="00D26393" w:rsidP="001E5D32">
      <w:pPr>
        <w:rPr>
          <w:b/>
          <w:bCs/>
        </w:rPr>
      </w:pPr>
    </w:p>
    <w:p w14:paraId="7BE88E64" w14:textId="23AB7A68" w:rsidR="00D26393" w:rsidRDefault="00D26393" w:rsidP="001E5D32">
      <w:pPr>
        <w:rPr>
          <w:b/>
          <w:bCs/>
        </w:rPr>
      </w:pPr>
    </w:p>
    <w:p w14:paraId="0483A6CD" w14:textId="49A2B0BB" w:rsidR="00D26393" w:rsidRDefault="00D26393" w:rsidP="001E5D32">
      <w:pPr>
        <w:rPr>
          <w:b/>
          <w:bCs/>
        </w:rPr>
      </w:pPr>
    </w:p>
    <w:p w14:paraId="0162E0DC" w14:textId="4959131D" w:rsidR="00D26393" w:rsidRDefault="00D26393" w:rsidP="001E5D32">
      <w:pPr>
        <w:rPr>
          <w:b/>
          <w:bCs/>
        </w:rPr>
      </w:pPr>
    </w:p>
    <w:p w14:paraId="793F2C67" w14:textId="0797742A" w:rsidR="00D26393" w:rsidRDefault="00D26393" w:rsidP="001E5D32">
      <w:pPr>
        <w:rPr>
          <w:b/>
          <w:bCs/>
        </w:rPr>
      </w:pPr>
    </w:p>
    <w:p w14:paraId="585035C4" w14:textId="182B771F" w:rsidR="00D26393" w:rsidRDefault="00D26393" w:rsidP="001E5D32">
      <w:pPr>
        <w:rPr>
          <w:b/>
          <w:bCs/>
        </w:rPr>
      </w:pPr>
    </w:p>
    <w:p w14:paraId="5685AEB6" w14:textId="618C5CC6" w:rsidR="00D26393" w:rsidRDefault="00D26393" w:rsidP="001E5D32">
      <w:pPr>
        <w:rPr>
          <w:b/>
          <w:bCs/>
        </w:rPr>
      </w:pPr>
    </w:p>
    <w:p w14:paraId="60CFFDE8" w14:textId="264C8F4A" w:rsidR="00D26393" w:rsidRDefault="00D26393" w:rsidP="001E5D32">
      <w:pPr>
        <w:rPr>
          <w:b/>
          <w:bCs/>
        </w:rPr>
      </w:pPr>
    </w:p>
    <w:p w14:paraId="6221D3D6" w14:textId="46C89D4C" w:rsidR="00D26393" w:rsidRDefault="00D26393" w:rsidP="001E5D32">
      <w:pPr>
        <w:rPr>
          <w:b/>
          <w:bCs/>
        </w:rPr>
      </w:pPr>
    </w:p>
    <w:p w14:paraId="19473D4F" w14:textId="5D07CB3A" w:rsidR="00D26393" w:rsidRDefault="00D26393" w:rsidP="001E5D32">
      <w:pPr>
        <w:rPr>
          <w:b/>
          <w:bCs/>
        </w:rPr>
      </w:pPr>
    </w:p>
    <w:p w14:paraId="0F0C4D82" w14:textId="6941E46C" w:rsidR="00523A3D" w:rsidRDefault="00523A3D">
      <w:pPr>
        <w:widowControl/>
        <w:spacing w:before="120" w:after="120" w:line="360" w:lineRule="auto"/>
        <w:jc w:val="both"/>
        <w:rPr>
          <w:b/>
          <w:bCs/>
        </w:rPr>
      </w:pPr>
      <w:r>
        <w:rPr>
          <w:b/>
          <w:bCs/>
        </w:rPr>
        <w:br w:type="page"/>
      </w:r>
    </w:p>
    <w:p w14:paraId="1FE4F25B" w14:textId="77777777" w:rsidR="00D26393" w:rsidRDefault="00D26393" w:rsidP="001E5D32">
      <w:pPr>
        <w:rPr>
          <w:b/>
          <w:bCs/>
        </w:rPr>
      </w:pPr>
    </w:p>
    <w:p w14:paraId="3EE25C30" w14:textId="77777777" w:rsidR="00D26393" w:rsidRDefault="00D26393" w:rsidP="001E5D32">
      <w:pPr>
        <w:rPr>
          <w:b/>
          <w:bCs/>
        </w:rPr>
      </w:pPr>
    </w:p>
    <w:p w14:paraId="6DF1A270" w14:textId="7609ABB7" w:rsidR="00FC0B85" w:rsidRDefault="00987889" w:rsidP="00987889">
      <w:pPr>
        <w:rPr>
          <w:rFonts w:eastAsiaTheme="majorEastAsia"/>
          <w:b/>
          <w:sz w:val="28"/>
          <w:szCs w:val="28"/>
          <w:u w:val="single"/>
        </w:rPr>
      </w:pPr>
      <w:r w:rsidRPr="00DE71A1">
        <w:rPr>
          <w:rFonts w:eastAsiaTheme="majorEastAsia"/>
          <w:b/>
          <w:sz w:val="28"/>
          <w:szCs w:val="28"/>
        </w:rPr>
        <w:t xml:space="preserve">1.12 </w:t>
      </w:r>
      <w:r w:rsidR="00FC0B85" w:rsidRPr="00DE71A1">
        <w:rPr>
          <w:rFonts w:eastAsiaTheme="majorEastAsia"/>
          <w:b/>
          <w:sz w:val="28"/>
          <w:szCs w:val="28"/>
          <w:u w:val="single"/>
        </w:rPr>
        <w:t xml:space="preserve">Job </w:t>
      </w:r>
      <w:r w:rsidR="00A8106C" w:rsidRPr="00DE71A1">
        <w:rPr>
          <w:rFonts w:eastAsiaTheme="majorEastAsia"/>
          <w:b/>
          <w:sz w:val="28"/>
          <w:szCs w:val="28"/>
          <w:u w:val="single"/>
        </w:rPr>
        <w:t xml:space="preserve">description </w:t>
      </w:r>
      <w:r w:rsidR="00FC0B85" w:rsidRPr="00DE71A1">
        <w:rPr>
          <w:rFonts w:eastAsiaTheme="majorEastAsia"/>
          <w:b/>
          <w:sz w:val="28"/>
          <w:szCs w:val="28"/>
          <w:u w:val="single"/>
        </w:rPr>
        <w:t xml:space="preserve">of </w:t>
      </w:r>
      <w:r w:rsidR="00A8106C" w:rsidRPr="00DE71A1">
        <w:rPr>
          <w:rFonts w:eastAsiaTheme="majorEastAsia"/>
          <w:b/>
          <w:sz w:val="28"/>
          <w:szCs w:val="28"/>
          <w:u w:val="single"/>
        </w:rPr>
        <w:t xml:space="preserve">staff </w:t>
      </w:r>
      <w:r w:rsidR="00FC0B85" w:rsidRPr="00DE71A1">
        <w:rPr>
          <w:rFonts w:eastAsiaTheme="majorEastAsia"/>
          <w:b/>
          <w:sz w:val="28"/>
          <w:szCs w:val="28"/>
          <w:u w:val="single"/>
        </w:rPr>
        <w:t xml:space="preserve">at </w:t>
      </w:r>
      <w:r w:rsidR="00A8106C" w:rsidRPr="00DE71A1">
        <w:rPr>
          <w:rFonts w:eastAsiaTheme="majorEastAsia"/>
          <w:b/>
          <w:sz w:val="28"/>
          <w:szCs w:val="28"/>
          <w:u w:val="single"/>
        </w:rPr>
        <w:t>National Pharmacovigilance Centre</w:t>
      </w:r>
    </w:p>
    <w:p w14:paraId="65291794" w14:textId="77777777" w:rsidR="00101119" w:rsidRPr="00DE71A1" w:rsidRDefault="00101119" w:rsidP="00987889">
      <w:pPr>
        <w:rPr>
          <w:rFonts w:eastAsiaTheme="majorEastAsia"/>
          <w:b/>
          <w:sz w:val="28"/>
          <w:szCs w:val="28"/>
        </w:rPr>
      </w:pPr>
    </w:p>
    <w:tbl>
      <w:tblPr>
        <w:tblStyle w:val="TableGrid"/>
        <w:tblW w:w="0" w:type="auto"/>
        <w:tblLook w:val="04A0" w:firstRow="1" w:lastRow="0" w:firstColumn="1" w:lastColumn="0" w:noHBand="0" w:noVBand="1"/>
      </w:tblPr>
      <w:tblGrid>
        <w:gridCol w:w="2245"/>
        <w:gridCol w:w="7091"/>
      </w:tblGrid>
      <w:tr w:rsidR="00FA7D5E" w14:paraId="3CC05091" w14:textId="77777777" w:rsidTr="00E56547">
        <w:trPr>
          <w:trHeight w:val="350"/>
        </w:trPr>
        <w:tc>
          <w:tcPr>
            <w:tcW w:w="2245" w:type="dxa"/>
            <w:shd w:val="clear" w:color="auto" w:fill="538135" w:themeFill="accent6" w:themeFillShade="BF"/>
          </w:tcPr>
          <w:p w14:paraId="63D02F7B" w14:textId="77777777" w:rsidR="00FA7D5E" w:rsidRPr="00400E31" w:rsidRDefault="00FA7D5E" w:rsidP="00E56547">
            <w:pPr>
              <w:rPr>
                <w:b/>
                <w:bCs/>
                <w:sz w:val="20"/>
                <w:szCs w:val="20"/>
                <w:lang w:val="en-US"/>
              </w:rPr>
            </w:pPr>
            <w:r w:rsidRPr="00400E31">
              <w:rPr>
                <w:b/>
                <w:bCs/>
                <w:sz w:val="20"/>
                <w:szCs w:val="20"/>
                <w:lang w:val="en-US"/>
              </w:rPr>
              <w:t>Designation of Post</w:t>
            </w:r>
          </w:p>
        </w:tc>
        <w:tc>
          <w:tcPr>
            <w:tcW w:w="7091" w:type="dxa"/>
            <w:shd w:val="clear" w:color="auto" w:fill="538135" w:themeFill="accent6" w:themeFillShade="BF"/>
          </w:tcPr>
          <w:p w14:paraId="44BA5E4C" w14:textId="77777777" w:rsidR="00FA7D5E" w:rsidRPr="00400E31" w:rsidRDefault="00FA7D5E" w:rsidP="00E56547">
            <w:pPr>
              <w:rPr>
                <w:b/>
                <w:bCs/>
                <w:sz w:val="20"/>
                <w:szCs w:val="20"/>
                <w:lang w:val="en-US"/>
              </w:rPr>
            </w:pPr>
            <w:r w:rsidRPr="00400E31">
              <w:rPr>
                <w:b/>
                <w:bCs/>
                <w:sz w:val="20"/>
                <w:szCs w:val="20"/>
                <w:lang w:val="en-US"/>
              </w:rPr>
              <w:t>Brief of Job Description.</w:t>
            </w:r>
          </w:p>
        </w:tc>
      </w:tr>
      <w:tr w:rsidR="00FA7D5E" w14:paraId="5FAD83D8" w14:textId="77777777" w:rsidTr="00E56547">
        <w:trPr>
          <w:trHeight w:val="800"/>
        </w:trPr>
        <w:tc>
          <w:tcPr>
            <w:tcW w:w="2245" w:type="dxa"/>
            <w:shd w:val="clear" w:color="auto" w:fill="FFF2CC" w:themeFill="accent4" w:themeFillTint="33"/>
          </w:tcPr>
          <w:p w14:paraId="38DFA50A" w14:textId="77777777" w:rsidR="00FA7D5E" w:rsidRPr="001B0D25" w:rsidRDefault="00FA7D5E" w:rsidP="00E56547">
            <w:pPr>
              <w:rPr>
                <w:sz w:val="20"/>
                <w:szCs w:val="20"/>
              </w:rPr>
            </w:pPr>
            <w:r w:rsidRPr="001B0D25">
              <w:rPr>
                <w:sz w:val="20"/>
                <w:szCs w:val="20"/>
              </w:rPr>
              <w:t>Head, NPC/ Co-Chair, PRAEC</w:t>
            </w:r>
          </w:p>
          <w:p w14:paraId="76CB4CB7" w14:textId="77777777" w:rsidR="00FA7D5E" w:rsidRPr="001B0D25" w:rsidRDefault="00FA7D5E" w:rsidP="00E56547">
            <w:pPr>
              <w:rPr>
                <w:sz w:val="20"/>
                <w:szCs w:val="20"/>
              </w:rPr>
            </w:pPr>
            <w:r w:rsidRPr="001B0D25">
              <w:rPr>
                <w:sz w:val="20"/>
                <w:szCs w:val="20"/>
              </w:rPr>
              <w:t xml:space="preserve">Director, Division of Pharmacy </w:t>
            </w:r>
          </w:p>
        </w:tc>
        <w:tc>
          <w:tcPr>
            <w:tcW w:w="7091" w:type="dxa"/>
            <w:shd w:val="clear" w:color="auto" w:fill="FFF2CC" w:themeFill="accent4" w:themeFillTint="33"/>
          </w:tcPr>
          <w:p w14:paraId="704B11BF" w14:textId="77777777" w:rsidR="00FA7D5E" w:rsidRPr="001B0D25" w:rsidRDefault="00FA7D5E" w:rsidP="00B551AA">
            <w:pPr>
              <w:pStyle w:val="ListParagraph"/>
              <w:widowControl/>
              <w:numPr>
                <w:ilvl w:val="0"/>
                <w:numId w:val="10"/>
              </w:numPr>
              <w:contextualSpacing w:val="0"/>
              <w:rPr>
                <w:sz w:val="20"/>
                <w:szCs w:val="20"/>
                <w:lang w:val="en-US"/>
              </w:rPr>
            </w:pPr>
            <w:r w:rsidRPr="001B0D25">
              <w:rPr>
                <w:sz w:val="20"/>
                <w:szCs w:val="20"/>
                <w:lang w:val="en-US"/>
              </w:rPr>
              <w:t xml:space="preserve">Responsible for </w:t>
            </w:r>
            <w:r>
              <w:rPr>
                <w:sz w:val="20"/>
                <w:szCs w:val="20"/>
                <w:lang w:val="en-US"/>
              </w:rPr>
              <w:t xml:space="preserve">the </w:t>
            </w:r>
            <w:r w:rsidRPr="001B0D25">
              <w:rPr>
                <w:sz w:val="20"/>
                <w:szCs w:val="20"/>
                <w:lang w:val="en-US"/>
              </w:rPr>
              <w:t xml:space="preserve">development and promotion of </w:t>
            </w:r>
            <w:r>
              <w:rPr>
                <w:sz w:val="20"/>
                <w:szCs w:val="20"/>
                <w:lang w:val="en-US"/>
              </w:rPr>
              <w:t xml:space="preserve">the </w:t>
            </w:r>
            <w:r w:rsidRPr="001B0D25">
              <w:rPr>
                <w:sz w:val="20"/>
                <w:szCs w:val="20"/>
                <w:lang w:val="en-US"/>
              </w:rPr>
              <w:t>pharmacovigilance system in Pakistan;</w:t>
            </w:r>
          </w:p>
          <w:p w14:paraId="0AF4C39A" w14:textId="77777777" w:rsidR="00FA7D5E" w:rsidRPr="001B0D25" w:rsidRDefault="00FA7D5E" w:rsidP="00B551AA">
            <w:pPr>
              <w:pStyle w:val="ListParagraph"/>
              <w:widowControl/>
              <w:numPr>
                <w:ilvl w:val="0"/>
                <w:numId w:val="10"/>
              </w:numPr>
              <w:contextualSpacing w:val="0"/>
              <w:rPr>
                <w:sz w:val="20"/>
                <w:szCs w:val="20"/>
                <w:lang w:val="en-US"/>
              </w:rPr>
            </w:pPr>
            <w:r w:rsidRPr="001B0D25">
              <w:rPr>
                <w:sz w:val="20"/>
                <w:szCs w:val="20"/>
                <w:lang w:val="en-US"/>
              </w:rPr>
              <w:t>Co-Chair the meeting of PRAEC.</w:t>
            </w:r>
          </w:p>
          <w:p w14:paraId="6B009E1E" w14:textId="77777777" w:rsidR="00FA7D5E" w:rsidRPr="001B0D25" w:rsidRDefault="00FA7D5E" w:rsidP="00B551AA">
            <w:pPr>
              <w:pStyle w:val="ListParagraph"/>
              <w:widowControl/>
              <w:numPr>
                <w:ilvl w:val="0"/>
                <w:numId w:val="10"/>
              </w:numPr>
              <w:contextualSpacing w:val="0"/>
              <w:rPr>
                <w:sz w:val="20"/>
                <w:szCs w:val="20"/>
                <w:lang w:val="en-US"/>
              </w:rPr>
            </w:pPr>
            <w:proofErr w:type="spellStart"/>
            <w:r w:rsidRPr="001B0D25">
              <w:rPr>
                <w:sz w:val="20"/>
                <w:szCs w:val="20"/>
                <w:lang w:val="en-US"/>
              </w:rPr>
              <w:t>Supversie</w:t>
            </w:r>
            <w:proofErr w:type="spellEnd"/>
            <w:r w:rsidRPr="001B0D25">
              <w:rPr>
                <w:sz w:val="20"/>
                <w:szCs w:val="20"/>
                <w:lang w:val="en-US"/>
              </w:rPr>
              <w:t xml:space="preserve"> and execute the </w:t>
            </w:r>
            <w:proofErr w:type="spellStart"/>
            <w:r w:rsidRPr="001B0D25">
              <w:rPr>
                <w:sz w:val="20"/>
                <w:szCs w:val="20"/>
                <w:lang w:val="en-US"/>
              </w:rPr>
              <w:t>progamme</w:t>
            </w:r>
            <w:proofErr w:type="spellEnd"/>
            <w:r w:rsidRPr="001B0D25">
              <w:rPr>
                <w:sz w:val="20"/>
                <w:szCs w:val="20"/>
                <w:lang w:val="en-US"/>
              </w:rPr>
              <w:t xml:space="preserve"> on PV training.</w:t>
            </w:r>
          </w:p>
          <w:p w14:paraId="11BEE76D" w14:textId="77777777" w:rsidR="00FA7D5E" w:rsidRPr="001B0D25" w:rsidRDefault="00FA7D5E" w:rsidP="00B551AA">
            <w:pPr>
              <w:pStyle w:val="ListParagraph"/>
              <w:widowControl/>
              <w:numPr>
                <w:ilvl w:val="0"/>
                <w:numId w:val="10"/>
              </w:numPr>
              <w:contextualSpacing w:val="0"/>
              <w:rPr>
                <w:sz w:val="20"/>
                <w:szCs w:val="20"/>
                <w:lang w:val="en-US"/>
              </w:rPr>
            </w:pPr>
            <w:r w:rsidRPr="001B0D25">
              <w:rPr>
                <w:sz w:val="20"/>
                <w:szCs w:val="20"/>
                <w:lang w:val="en-US"/>
              </w:rPr>
              <w:t>Sign MOUs with PPCs, PHPs and other relev</w:t>
            </w:r>
            <w:r>
              <w:rPr>
                <w:sz w:val="20"/>
                <w:szCs w:val="20"/>
                <w:lang w:val="en-US"/>
              </w:rPr>
              <w:t>a</w:t>
            </w:r>
            <w:r w:rsidRPr="001B0D25">
              <w:rPr>
                <w:sz w:val="20"/>
                <w:szCs w:val="20"/>
                <w:lang w:val="en-US"/>
              </w:rPr>
              <w:t>nt organization</w:t>
            </w:r>
            <w:r>
              <w:rPr>
                <w:sz w:val="20"/>
                <w:szCs w:val="20"/>
                <w:lang w:val="en-US"/>
              </w:rPr>
              <w:t>s</w:t>
            </w:r>
            <w:r w:rsidRPr="001B0D25">
              <w:rPr>
                <w:sz w:val="20"/>
                <w:szCs w:val="20"/>
                <w:lang w:val="en-US"/>
              </w:rPr>
              <w:t>.</w:t>
            </w:r>
          </w:p>
          <w:p w14:paraId="63C10442" w14:textId="77777777" w:rsidR="00FA7D5E" w:rsidRPr="001B0D25" w:rsidRDefault="00FA7D5E" w:rsidP="00B551AA">
            <w:pPr>
              <w:pStyle w:val="ListParagraph"/>
              <w:widowControl/>
              <w:numPr>
                <w:ilvl w:val="0"/>
                <w:numId w:val="10"/>
              </w:numPr>
              <w:contextualSpacing w:val="0"/>
              <w:rPr>
                <w:sz w:val="20"/>
                <w:szCs w:val="20"/>
                <w:lang w:val="en-US"/>
              </w:rPr>
            </w:pPr>
            <w:r w:rsidRPr="001B0D25">
              <w:rPr>
                <w:sz w:val="20"/>
                <w:szCs w:val="20"/>
                <w:lang w:val="en-US"/>
              </w:rPr>
              <w:t>Responsible for inter-provincial coordination on PV.</w:t>
            </w:r>
          </w:p>
          <w:p w14:paraId="7ECD32A3" w14:textId="77777777" w:rsidR="00FA7D5E" w:rsidRPr="001B0D25" w:rsidRDefault="00FA7D5E" w:rsidP="00B551AA">
            <w:pPr>
              <w:pStyle w:val="ListParagraph"/>
              <w:widowControl/>
              <w:numPr>
                <w:ilvl w:val="0"/>
                <w:numId w:val="10"/>
              </w:numPr>
              <w:contextualSpacing w:val="0"/>
              <w:rPr>
                <w:sz w:val="20"/>
                <w:szCs w:val="20"/>
                <w:lang w:val="en-US"/>
              </w:rPr>
            </w:pPr>
            <w:r w:rsidRPr="001B0D25">
              <w:rPr>
                <w:sz w:val="20"/>
                <w:szCs w:val="20"/>
                <w:lang w:val="en-US"/>
              </w:rPr>
              <w:t>Execution of risk min</w:t>
            </w:r>
            <w:r>
              <w:rPr>
                <w:sz w:val="20"/>
                <w:szCs w:val="20"/>
                <w:lang w:val="en-US"/>
              </w:rPr>
              <w:t>i</w:t>
            </w:r>
            <w:r w:rsidRPr="001B0D25">
              <w:rPr>
                <w:sz w:val="20"/>
                <w:szCs w:val="20"/>
                <w:lang w:val="en-US"/>
              </w:rPr>
              <w:t>mization measure</w:t>
            </w:r>
            <w:r>
              <w:rPr>
                <w:sz w:val="20"/>
                <w:szCs w:val="20"/>
                <w:lang w:val="en-US"/>
              </w:rPr>
              <w:t>s</w:t>
            </w:r>
            <w:r w:rsidRPr="001B0D25">
              <w:rPr>
                <w:sz w:val="20"/>
                <w:szCs w:val="20"/>
                <w:lang w:val="en-US"/>
              </w:rPr>
              <w:t xml:space="preserve"> (regulatory actions) through other Divisions of DRAP.</w:t>
            </w:r>
          </w:p>
          <w:p w14:paraId="211C8F2D" w14:textId="77777777" w:rsidR="00FA7D5E" w:rsidRPr="001B0D25" w:rsidRDefault="00FA7D5E" w:rsidP="00B551AA">
            <w:pPr>
              <w:pStyle w:val="ListParagraph"/>
              <w:widowControl/>
              <w:numPr>
                <w:ilvl w:val="0"/>
                <w:numId w:val="10"/>
              </w:numPr>
              <w:contextualSpacing w:val="0"/>
              <w:rPr>
                <w:sz w:val="20"/>
                <w:szCs w:val="20"/>
                <w:lang w:val="en-US"/>
              </w:rPr>
            </w:pPr>
            <w:r w:rsidRPr="001B0D25">
              <w:rPr>
                <w:sz w:val="20"/>
                <w:szCs w:val="20"/>
                <w:lang w:val="en-US"/>
              </w:rPr>
              <w:t>Present rules, guidelines and procedure</w:t>
            </w:r>
            <w:r>
              <w:rPr>
                <w:sz w:val="20"/>
                <w:szCs w:val="20"/>
                <w:lang w:val="en-US"/>
              </w:rPr>
              <w:t>s</w:t>
            </w:r>
            <w:r w:rsidRPr="001B0D25">
              <w:rPr>
                <w:sz w:val="20"/>
                <w:szCs w:val="20"/>
                <w:lang w:val="en-US"/>
              </w:rPr>
              <w:t xml:space="preserve"> before the Authority for subsequent approval from Policy Board and Federal Government.</w:t>
            </w:r>
          </w:p>
        </w:tc>
      </w:tr>
      <w:tr w:rsidR="00FA7D5E" w14:paraId="284615C6" w14:textId="77777777" w:rsidTr="00E56547">
        <w:trPr>
          <w:trHeight w:val="954"/>
        </w:trPr>
        <w:tc>
          <w:tcPr>
            <w:tcW w:w="2245" w:type="dxa"/>
            <w:shd w:val="clear" w:color="auto" w:fill="FBE4D5" w:themeFill="accent2" w:themeFillTint="33"/>
          </w:tcPr>
          <w:p w14:paraId="1EA7CEC9" w14:textId="77777777" w:rsidR="00FA7D5E" w:rsidRPr="001B0D25" w:rsidRDefault="00FA7D5E" w:rsidP="00E56547">
            <w:pPr>
              <w:rPr>
                <w:sz w:val="20"/>
                <w:szCs w:val="20"/>
              </w:rPr>
            </w:pPr>
            <w:r w:rsidRPr="001B0D25">
              <w:rPr>
                <w:sz w:val="20"/>
                <w:szCs w:val="20"/>
              </w:rPr>
              <w:t>Section In-charge/ Secretary, PRAEC</w:t>
            </w:r>
          </w:p>
          <w:p w14:paraId="26B4BC47" w14:textId="77777777" w:rsidR="00FA7D5E" w:rsidRPr="001B0D25" w:rsidRDefault="00FA7D5E" w:rsidP="00E56547">
            <w:pPr>
              <w:rPr>
                <w:sz w:val="20"/>
                <w:szCs w:val="20"/>
                <w:lang w:val="en-US"/>
              </w:rPr>
            </w:pPr>
            <w:r w:rsidRPr="001B0D25">
              <w:rPr>
                <w:sz w:val="20"/>
                <w:szCs w:val="20"/>
              </w:rPr>
              <w:t xml:space="preserve">Additional Directors, NPC, </w:t>
            </w:r>
          </w:p>
        </w:tc>
        <w:tc>
          <w:tcPr>
            <w:tcW w:w="7091" w:type="dxa"/>
            <w:shd w:val="clear" w:color="auto" w:fill="FBE4D5" w:themeFill="accent2" w:themeFillTint="33"/>
          </w:tcPr>
          <w:p w14:paraId="7EA7BFAA"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Preparation of agenda/ minutes of PRAEC</w:t>
            </w:r>
            <w:r>
              <w:rPr>
                <w:sz w:val="20"/>
                <w:szCs w:val="20"/>
                <w:lang w:val="en-US"/>
              </w:rPr>
              <w:t>.</w:t>
            </w:r>
          </w:p>
          <w:p w14:paraId="0470CEBA" w14:textId="27FBAB2B"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Th</w:t>
            </w:r>
            <w:r w:rsidR="0082144C">
              <w:rPr>
                <w:sz w:val="20"/>
                <w:szCs w:val="20"/>
                <w:lang w:val="en-US"/>
              </w:rPr>
              <w:t>ro</w:t>
            </w:r>
            <w:r w:rsidRPr="001B0D25">
              <w:rPr>
                <w:sz w:val="20"/>
                <w:szCs w:val="20"/>
                <w:lang w:val="en-US"/>
              </w:rPr>
              <w:t xml:space="preserve">ugh consultation with Chair, convene </w:t>
            </w:r>
            <w:r>
              <w:rPr>
                <w:sz w:val="20"/>
                <w:szCs w:val="20"/>
                <w:lang w:val="en-US"/>
              </w:rPr>
              <w:t xml:space="preserve">a </w:t>
            </w:r>
            <w:r w:rsidRPr="001B0D25">
              <w:rPr>
                <w:sz w:val="20"/>
                <w:szCs w:val="20"/>
                <w:lang w:val="en-US"/>
              </w:rPr>
              <w:t>meetin</w:t>
            </w:r>
            <w:r>
              <w:rPr>
                <w:sz w:val="20"/>
                <w:szCs w:val="20"/>
                <w:lang w:val="en-US"/>
              </w:rPr>
              <w:t>g</w:t>
            </w:r>
            <w:r w:rsidRPr="001B0D25">
              <w:rPr>
                <w:sz w:val="20"/>
                <w:szCs w:val="20"/>
                <w:lang w:val="en-US"/>
              </w:rPr>
              <w:t xml:space="preserve"> of PRAEC.</w:t>
            </w:r>
          </w:p>
          <w:p w14:paraId="76B773AF" w14:textId="77B557BB"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 xml:space="preserve">Head </w:t>
            </w:r>
            <w:r w:rsidR="0082144C">
              <w:rPr>
                <w:sz w:val="20"/>
                <w:szCs w:val="20"/>
                <w:lang w:val="en-US"/>
              </w:rPr>
              <w:t xml:space="preserve">of </w:t>
            </w:r>
            <w:r w:rsidRPr="001B0D25">
              <w:rPr>
                <w:sz w:val="20"/>
                <w:szCs w:val="20"/>
                <w:lang w:val="en-US"/>
              </w:rPr>
              <w:t>the relev</w:t>
            </w:r>
            <w:r>
              <w:rPr>
                <w:sz w:val="20"/>
                <w:szCs w:val="20"/>
                <w:lang w:val="en-US"/>
              </w:rPr>
              <w:t>a</w:t>
            </w:r>
            <w:r w:rsidRPr="001B0D25">
              <w:rPr>
                <w:sz w:val="20"/>
                <w:szCs w:val="20"/>
                <w:lang w:val="en-US"/>
              </w:rPr>
              <w:t>nt section of NPC.</w:t>
            </w:r>
          </w:p>
          <w:p w14:paraId="76DDF0AA"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Development of training plans for NPC, PPCs and PHPs.</w:t>
            </w:r>
          </w:p>
          <w:p w14:paraId="3B669FC5"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Communication with PV stakeholders and arrangement of meeting</w:t>
            </w:r>
            <w:r>
              <w:rPr>
                <w:sz w:val="20"/>
                <w:szCs w:val="20"/>
                <w:lang w:val="en-US"/>
              </w:rPr>
              <w:t>s</w:t>
            </w:r>
            <w:r w:rsidRPr="001B0D25">
              <w:rPr>
                <w:sz w:val="20"/>
                <w:szCs w:val="20"/>
                <w:lang w:val="en-US"/>
              </w:rPr>
              <w:t>.</w:t>
            </w:r>
          </w:p>
          <w:p w14:paraId="6B0C25B3"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Responsible to issues thera</w:t>
            </w:r>
            <w:r>
              <w:rPr>
                <w:sz w:val="20"/>
                <w:szCs w:val="20"/>
                <w:lang w:val="en-US"/>
              </w:rPr>
              <w:t>pe</w:t>
            </w:r>
            <w:r w:rsidRPr="001B0D25">
              <w:rPr>
                <w:sz w:val="20"/>
                <w:szCs w:val="20"/>
                <w:lang w:val="en-US"/>
              </w:rPr>
              <w:t>utic goods safety alerts, newsletters and press release</w:t>
            </w:r>
            <w:r>
              <w:rPr>
                <w:sz w:val="20"/>
                <w:szCs w:val="20"/>
                <w:lang w:val="en-US"/>
              </w:rPr>
              <w:t>s</w:t>
            </w:r>
            <w:r w:rsidRPr="001B0D25">
              <w:rPr>
                <w:sz w:val="20"/>
                <w:szCs w:val="20"/>
                <w:lang w:val="en-US"/>
              </w:rPr>
              <w:t xml:space="preserve"> of the respective section.</w:t>
            </w:r>
          </w:p>
          <w:p w14:paraId="4C0F3BC3"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 xml:space="preserve">Responsible for </w:t>
            </w:r>
            <w:r>
              <w:rPr>
                <w:sz w:val="20"/>
                <w:szCs w:val="20"/>
                <w:lang w:val="en-US"/>
              </w:rPr>
              <w:t xml:space="preserve">the </w:t>
            </w:r>
            <w:r w:rsidRPr="001B0D25">
              <w:rPr>
                <w:sz w:val="20"/>
                <w:szCs w:val="20"/>
                <w:lang w:val="en-US"/>
              </w:rPr>
              <w:t>awar</w:t>
            </w:r>
            <w:r>
              <w:rPr>
                <w:sz w:val="20"/>
                <w:szCs w:val="20"/>
                <w:lang w:val="en-US"/>
              </w:rPr>
              <w:t>e</w:t>
            </w:r>
            <w:r w:rsidRPr="001B0D25">
              <w:rPr>
                <w:sz w:val="20"/>
                <w:szCs w:val="20"/>
                <w:lang w:val="en-US"/>
              </w:rPr>
              <w:t>ness campaign</w:t>
            </w:r>
          </w:p>
          <w:p w14:paraId="7F748BDE"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Evaluate the quality and causality of entered ADRs.</w:t>
            </w:r>
          </w:p>
          <w:p w14:paraId="3526B04C"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 xml:space="preserve">Chair the meeting of </w:t>
            </w:r>
            <w:r>
              <w:rPr>
                <w:sz w:val="20"/>
                <w:szCs w:val="20"/>
                <w:lang w:val="en-US"/>
              </w:rPr>
              <w:t xml:space="preserve">the </w:t>
            </w:r>
            <w:r w:rsidRPr="001B0D25">
              <w:rPr>
                <w:sz w:val="20"/>
                <w:szCs w:val="20"/>
                <w:lang w:val="en-US"/>
              </w:rPr>
              <w:t>Signal review group of the respective section of NPC</w:t>
            </w:r>
            <w:r>
              <w:rPr>
                <w:sz w:val="20"/>
                <w:szCs w:val="20"/>
                <w:lang w:val="en-US"/>
              </w:rPr>
              <w:t>.</w:t>
            </w:r>
          </w:p>
        </w:tc>
      </w:tr>
      <w:tr w:rsidR="00FA7D5E" w14:paraId="6E9E5DB6" w14:textId="77777777" w:rsidTr="00E56547">
        <w:trPr>
          <w:trHeight w:val="905"/>
        </w:trPr>
        <w:tc>
          <w:tcPr>
            <w:tcW w:w="2245" w:type="dxa"/>
            <w:shd w:val="clear" w:color="auto" w:fill="BDD6EE" w:themeFill="accent5" w:themeFillTint="66"/>
          </w:tcPr>
          <w:p w14:paraId="23BE0F51" w14:textId="77777777" w:rsidR="00FA7D5E" w:rsidRPr="001B0D25" w:rsidRDefault="00FA7D5E" w:rsidP="00E56547">
            <w:pPr>
              <w:rPr>
                <w:sz w:val="20"/>
                <w:szCs w:val="20"/>
              </w:rPr>
            </w:pPr>
            <w:r w:rsidRPr="001B0D25">
              <w:rPr>
                <w:sz w:val="20"/>
                <w:szCs w:val="20"/>
              </w:rPr>
              <w:t>Pharmacovigilance Officers /Secretary, PRAEC</w:t>
            </w:r>
          </w:p>
          <w:p w14:paraId="4D5E6DB7" w14:textId="77777777" w:rsidR="00FA7D5E" w:rsidRPr="001B0D25" w:rsidRDefault="00FA7D5E" w:rsidP="00E56547">
            <w:pPr>
              <w:rPr>
                <w:sz w:val="20"/>
                <w:szCs w:val="20"/>
                <w:lang w:val="en-US"/>
              </w:rPr>
            </w:pPr>
            <w:r w:rsidRPr="001B0D25">
              <w:rPr>
                <w:sz w:val="20"/>
                <w:szCs w:val="20"/>
              </w:rPr>
              <w:t>Deputy Directors, NPC</w:t>
            </w:r>
          </w:p>
        </w:tc>
        <w:tc>
          <w:tcPr>
            <w:tcW w:w="7091" w:type="dxa"/>
            <w:shd w:val="clear" w:color="auto" w:fill="BDD6EE" w:themeFill="accent5" w:themeFillTint="66"/>
          </w:tcPr>
          <w:p w14:paraId="3AA3F6C6"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Preparation of agenda/ minutes of PRAEC</w:t>
            </w:r>
          </w:p>
          <w:p w14:paraId="3F3ED5FB" w14:textId="6A8D9CC1"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Th</w:t>
            </w:r>
            <w:r w:rsidR="00803848">
              <w:rPr>
                <w:sz w:val="20"/>
                <w:szCs w:val="20"/>
                <w:lang w:val="en-US"/>
              </w:rPr>
              <w:t>ro</w:t>
            </w:r>
            <w:r w:rsidRPr="001B0D25">
              <w:rPr>
                <w:sz w:val="20"/>
                <w:szCs w:val="20"/>
                <w:lang w:val="en-US"/>
              </w:rPr>
              <w:t xml:space="preserve">ugh consultation with Chair, convene </w:t>
            </w:r>
            <w:r>
              <w:rPr>
                <w:sz w:val="20"/>
                <w:szCs w:val="20"/>
                <w:lang w:val="en-US"/>
              </w:rPr>
              <w:t xml:space="preserve">a </w:t>
            </w:r>
            <w:r w:rsidRPr="001B0D25">
              <w:rPr>
                <w:sz w:val="20"/>
                <w:szCs w:val="20"/>
                <w:lang w:val="en-US"/>
              </w:rPr>
              <w:t>meetin</w:t>
            </w:r>
            <w:r>
              <w:rPr>
                <w:sz w:val="20"/>
                <w:szCs w:val="20"/>
                <w:lang w:val="en-US"/>
              </w:rPr>
              <w:t>g</w:t>
            </w:r>
            <w:r w:rsidRPr="001B0D25">
              <w:rPr>
                <w:sz w:val="20"/>
                <w:szCs w:val="20"/>
                <w:lang w:val="en-US"/>
              </w:rPr>
              <w:t xml:space="preserve"> of PRAEC.</w:t>
            </w:r>
          </w:p>
          <w:p w14:paraId="68A3E608"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 xml:space="preserve">Chair the meeting of </w:t>
            </w:r>
            <w:r>
              <w:rPr>
                <w:sz w:val="20"/>
                <w:szCs w:val="20"/>
                <w:lang w:val="en-US"/>
              </w:rPr>
              <w:t xml:space="preserve">the </w:t>
            </w:r>
            <w:r w:rsidRPr="001B0D25">
              <w:rPr>
                <w:sz w:val="20"/>
                <w:szCs w:val="20"/>
                <w:lang w:val="en-US"/>
              </w:rPr>
              <w:t>causality asse</w:t>
            </w:r>
            <w:r>
              <w:rPr>
                <w:sz w:val="20"/>
                <w:szCs w:val="20"/>
                <w:lang w:val="en-US"/>
              </w:rPr>
              <w:t>s</w:t>
            </w:r>
            <w:r w:rsidRPr="001B0D25">
              <w:rPr>
                <w:sz w:val="20"/>
                <w:szCs w:val="20"/>
                <w:lang w:val="en-US"/>
              </w:rPr>
              <w:t>sment group of the relev</w:t>
            </w:r>
            <w:r>
              <w:rPr>
                <w:sz w:val="20"/>
                <w:szCs w:val="20"/>
                <w:lang w:val="en-US"/>
              </w:rPr>
              <w:t>a</w:t>
            </w:r>
            <w:r w:rsidRPr="001B0D25">
              <w:rPr>
                <w:sz w:val="20"/>
                <w:szCs w:val="20"/>
                <w:lang w:val="en-US"/>
              </w:rPr>
              <w:t>nt section of NPC.</w:t>
            </w:r>
          </w:p>
          <w:p w14:paraId="72BCB7AA"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Assist Additional Directors and Head NPC in their work</w:t>
            </w:r>
          </w:p>
          <w:p w14:paraId="4CDEF123"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Guide Assistant Directors on data entry, cau</w:t>
            </w:r>
            <w:r>
              <w:rPr>
                <w:sz w:val="20"/>
                <w:szCs w:val="20"/>
                <w:lang w:val="en-US"/>
              </w:rPr>
              <w:t>s</w:t>
            </w:r>
            <w:r w:rsidRPr="001B0D25">
              <w:rPr>
                <w:sz w:val="20"/>
                <w:szCs w:val="20"/>
                <w:lang w:val="en-US"/>
              </w:rPr>
              <w:t>ality asse</w:t>
            </w:r>
            <w:r>
              <w:rPr>
                <w:sz w:val="20"/>
                <w:szCs w:val="20"/>
                <w:lang w:val="en-US"/>
              </w:rPr>
              <w:t>ss</w:t>
            </w:r>
            <w:r w:rsidRPr="001B0D25">
              <w:rPr>
                <w:sz w:val="20"/>
                <w:szCs w:val="20"/>
                <w:lang w:val="en-US"/>
              </w:rPr>
              <w:t>ment and signal detection.</w:t>
            </w:r>
          </w:p>
          <w:p w14:paraId="1FD5B9A3"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 xml:space="preserve">Search </w:t>
            </w:r>
            <w:r>
              <w:rPr>
                <w:sz w:val="20"/>
                <w:szCs w:val="20"/>
                <w:lang w:val="en-US"/>
              </w:rPr>
              <w:t xml:space="preserve">the </w:t>
            </w:r>
            <w:r w:rsidRPr="001B0D25">
              <w:rPr>
                <w:sz w:val="20"/>
                <w:szCs w:val="20"/>
                <w:lang w:val="en-US"/>
              </w:rPr>
              <w:t>Pakistan database for new signals along with Assistant Directors of the relev</w:t>
            </w:r>
            <w:r>
              <w:rPr>
                <w:sz w:val="20"/>
                <w:szCs w:val="20"/>
                <w:lang w:val="en-US"/>
              </w:rPr>
              <w:t>a</w:t>
            </w:r>
            <w:r w:rsidRPr="001B0D25">
              <w:rPr>
                <w:sz w:val="20"/>
                <w:szCs w:val="20"/>
                <w:lang w:val="en-US"/>
              </w:rPr>
              <w:t>nt section of NPC.</w:t>
            </w:r>
          </w:p>
          <w:p w14:paraId="653F6799" w14:textId="77777777" w:rsidR="00FA7D5E" w:rsidRPr="001B0D25" w:rsidRDefault="00FA7D5E" w:rsidP="00B551AA">
            <w:pPr>
              <w:pStyle w:val="ListParagraph"/>
              <w:widowControl/>
              <w:numPr>
                <w:ilvl w:val="0"/>
                <w:numId w:val="11"/>
              </w:numPr>
              <w:contextualSpacing w:val="0"/>
              <w:rPr>
                <w:sz w:val="20"/>
                <w:szCs w:val="20"/>
                <w:lang w:val="en-US"/>
              </w:rPr>
            </w:pPr>
            <w:r w:rsidRPr="001B0D25">
              <w:rPr>
                <w:sz w:val="20"/>
                <w:szCs w:val="20"/>
                <w:lang w:val="en-US"/>
              </w:rPr>
              <w:t>Review the material of training, therapeutic goods safety alerts, newsletter and other communication.</w:t>
            </w:r>
          </w:p>
          <w:p w14:paraId="4C763A10" w14:textId="77777777" w:rsidR="00FA7D5E" w:rsidRPr="00A66AD9" w:rsidRDefault="00FA7D5E" w:rsidP="00B551AA">
            <w:pPr>
              <w:pStyle w:val="ListParagraph"/>
              <w:widowControl/>
              <w:numPr>
                <w:ilvl w:val="0"/>
                <w:numId w:val="11"/>
              </w:numPr>
              <w:contextualSpacing w:val="0"/>
              <w:rPr>
                <w:sz w:val="20"/>
                <w:szCs w:val="20"/>
                <w:lang w:val="en-US"/>
              </w:rPr>
            </w:pPr>
            <w:r w:rsidRPr="001B0D25">
              <w:rPr>
                <w:sz w:val="20"/>
                <w:szCs w:val="20"/>
                <w:lang w:val="en-US"/>
              </w:rPr>
              <w:t>Help Additional Director of the relev</w:t>
            </w:r>
            <w:r>
              <w:rPr>
                <w:sz w:val="20"/>
                <w:szCs w:val="20"/>
                <w:lang w:val="en-US"/>
              </w:rPr>
              <w:t>a</w:t>
            </w:r>
            <w:r w:rsidRPr="001B0D25">
              <w:rPr>
                <w:sz w:val="20"/>
                <w:szCs w:val="20"/>
                <w:lang w:val="en-US"/>
              </w:rPr>
              <w:t xml:space="preserve">nt section of NPC in </w:t>
            </w:r>
            <w:r>
              <w:rPr>
                <w:sz w:val="20"/>
                <w:szCs w:val="20"/>
                <w:lang w:val="en-US"/>
              </w:rPr>
              <w:t xml:space="preserve">the </w:t>
            </w:r>
            <w:r w:rsidRPr="001B0D25">
              <w:rPr>
                <w:sz w:val="20"/>
                <w:szCs w:val="20"/>
                <w:lang w:val="en-US"/>
              </w:rPr>
              <w:t>awar</w:t>
            </w:r>
            <w:r>
              <w:rPr>
                <w:sz w:val="20"/>
                <w:szCs w:val="20"/>
                <w:lang w:val="en-US"/>
              </w:rPr>
              <w:t>e</w:t>
            </w:r>
            <w:r w:rsidRPr="001B0D25">
              <w:rPr>
                <w:sz w:val="20"/>
                <w:szCs w:val="20"/>
                <w:lang w:val="en-US"/>
              </w:rPr>
              <w:t>ness campaign.</w:t>
            </w:r>
          </w:p>
        </w:tc>
      </w:tr>
      <w:tr w:rsidR="00FA7D5E" w14:paraId="66E60A92" w14:textId="77777777" w:rsidTr="00E56547">
        <w:trPr>
          <w:trHeight w:val="2195"/>
        </w:trPr>
        <w:tc>
          <w:tcPr>
            <w:tcW w:w="2245" w:type="dxa"/>
            <w:shd w:val="clear" w:color="auto" w:fill="FFE599" w:themeFill="accent4" w:themeFillTint="66"/>
          </w:tcPr>
          <w:p w14:paraId="4C7E1085" w14:textId="77777777" w:rsidR="00FA7D5E" w:rsidRPr="001B0D25" w:rsidRDefault="00FA7D5E" w:rsidP="00E56547">
            <w:pPr>
              <w:rPr>
                <w:sz w:val="20"/>
                <w:szCs w:val="20"/>
              </w:rPr>
            </w:pPr>
            <w:r w:rsidRPr="001B0D25">
              <w:rPr>
                <w:sz w:val="20"/>
                <w:szCs w:val="20"/>
              </w:rPr>
              <w:t>Pharmacovigilance Officers</w:t>
            </w:r>
          </w:p>
          <w:p w14:paraId="1B4C8C78" w14:textId="77777777" w:rsidR="00FA7D5E" w:rsidRPr="001B0D25" w:rsidRDefault="00FA7D5E" w:rsidP="00E56547">
            <w:pPr>
              <w:rPr>
                <w:sz w:val="20"/>
                <w:szCs w:val="20"/>
                <w:lang w:val="en-US"/>
              </w:rPr>
            </w:pPr>
            <w:r w:rsidRPr="001B0D25">
              <w:rPr>
                <w:sz w:val="20"/>
                <w:szCs w:val="20"/>
              </w:rPr>
              <w:t>Assistant Directors, NPC</w:t>
            </w:r>
          </w:p>
        </w:tc>
        <w:tc>
          <w:tcPr>
            <w:tcW w:w="7091" w:type="dxa"/>
            <w:shd w:val="clear" w:color="auto" w:fill="FFE599" w:themeFill="accent4" w:themeFillTint="66"/>
          </w:tcPr>
          <w:p w14:paraId="62B59C60" w14:textId="77777777" w:rsidR="00FA7D5E" w:rsidRPr="001B0D25" w:rsidRDefault="00FA7D5E" w:rsidP="00B551AA">
            <w:pPr>
              <w:pStyle w:val="ListParagraph"/>
              <w:widowControl/>
              <w:numPr>
                <w:ilvl w:val="0"/>
                <w:numId w:val="12"/>
              </w:numPr>
              <w:rPr>
                <w:sz w:val="20"/>
                <w:szCs w:val="20"/>
                <w:lang w:val="en-US"/>
              </w:rPr>
            </w:pPr>
            <w:r w:rsidRPr="001B0D25">
              <w:rPr>
                <w:sz w:val="20"/>
                <w:szCs w:val="20"/>
                <w:lang w:val="en-US"/>
              </w:rPr>
              <w:t xml:space="preserve">Collect, assess, enter and transfer </w:t>
            </w:r>
            <w:r>
              <w:rPr>
                <w:sz w:val="20"/>
                <w:szCs w:val="20"/>
                <w:lang w:val="en-US"/>
              </w:rPr>
              <w:t>pharmacovigilance data</w:t>
            </w:r>
            <w:r w:rsidRPr="001B0D25">
              <w:rPr>
                <w:sz w:val="20"/>
                <w:szCs w:val="20"/>
                <w:lang w:val="en-US"/>
              </w:rPr>
              <w:t>.</w:t>
            </w:r>
          </w:p>
          <w:p w14:paraId="6C3D0556" w14:textId="77777777" w:rsidR="00FA7D5E" w:rsidRPr="001B0D25" w:rsidRDefault="00FA7D5E" w:rsidP="00B551AA">
            <w:pPr>
              <w:pStyle w:val="ListParagraph"/>
              <w:widowControl/>
              <w:numPr>
                <w:ilvl w:val="0"/>
                <w:numId w:val="12"/>
              </w:numPr>
              <w:rPr>
                <w:sz w:val="20"/>
                <w:szCs w:val="20"/>
                <w:lang w:val="en-US"/>
              </w:rPr>
            </w:pPr>
            <w:r w:rsidRPr="001B0D25">
              <w:rPr>
                <w:sz w:val="20"/>
                <w:szCs w:val="20"/>
                <w:lang w:val="en-US"/>
              </w:rPr>
              <w:t>Perform in</w:t>
            </w:r>
            <w:r>
              <w:rPr>
                <w:sz w:val="20"/>
                <w:szCs w:val="20"/>
                <w:lang w:val="en-US"/>
              </w:rPr>
              <w:t>i</w:t>
            </w:r>
            <w:r w:rsidRPr="001B0D25">
              <w:rPr>
                <w:sz w:val="20"/>
                <w:szCs w:val="20"/>
                <w:lang w:val="en-US"/>
              </w:rPr>
              <w:t>tial causality asse</w:t>
            </w:r>
            <w:r>
              <w:rPr>
                <w:sz w:val="20"/>
                <w:szCs w:val="20"/>
                <w:lang w:val="en-US"/>
              </w:rPr>
              <w:t>s</w:t>
            </w:r>
            <w:r w:rsidRPr="001B0D25">
              <w:rPr>
                <w:sz w:val="20"/>
                <w:szCs w:val="20"/>
                <w:lang w:val="en-US"/>
              </w:rPr>
              <w:t>sment or signal d</w:t>
            </w:r>
            <w:r>
              <w:rPr>
                <w:sz w:val="20"/>
                <w:szCs w:val="20"/>
                <w:lang w:val="en-US"/>
              </w:rPr>
              <w:t>et</w:t>
            </w:r>
            <w:r w:rsidRPr="001B0D25">
              <w:rPr>
                <w:sz w:val="20"/>
                <w:szCs w:val="20"/>
                <w:lang w:val="en-US"/>
              </w:rPr>
              <w:t xml:space="preserve">ection or review the causality of </w:t>
            </w:r>
            <w:r>
              <w:rPr>
                <w:sz w:val="20"/>
                <w:szCs w:val="20"/>
                <w:lang w:val="en-US"/>
              </w:rPr>
              <w:t xml:space="preserve">pharmacovigilance data </w:t>
            </w:r>
            <w:r w:rsidRPr="001B0D25">
              <w:rPr>
                <w:sz w:val="20"/>
                <w:szCs w:val="20"/>
                <w:lang w:val="en-US"/>
              </w:rPr>
              <w:t>received from PPC</w:t>
            </w:r>
            <w:r>
              <w:rPr>
                <w:sz w:val="20"/>
                <w:szCs w:val="20"/>
                <w:lang w:val="en-US"/>
              </w:rPr>
              <w:t>s</w:t>
            </w:r>
            <w:r w:rsidRPr="001B0D25">
              <w:rPr>
                <w:sz w:val="20"/>
                <w:szCs w:val="20"/>
                <w:lang w:val="en-US"/>
              </w:rPr>
              <w:t xml:space="preserve"> and PHPs.</w:t>
            </w:r>
          </w:p>
          <w:p w14:paraId="7C0294BF" w14:textId="77777777" w:rsidR="00FA7D5E" w:rsidRPr="001B0D25" w:rsidRDefault="00FA7D5E" w:rsidP="00B551AA">
            <w:pPr>
              <w:pStyle w:val="ListParagraph"/>
              <w:widowControl/>
              <w:numPr>
                <w:ilvl w:val="0"/>
                <w:numId w:val="12"/>
              </w:numPr>
              <w:rPr>
                <w:sz w:val="20"/>
                <w:szCs w:val="20"/>
                <w:lang w:val="en-US"/>
              </w:rPr>
            </w:pPr>
            <w:r w:rsidRPr="001B0D25">
              <w:rPr>
                <w:sz w:val="20"/>
                <w:szCs w:val="20"/>
                <w:lang w:val="en-US"/>
              </w:rPr>
              <w:t>Member causality assessment and signal review groups</w:t>
            </w:r>
            <w:r>
              <w:rPr>
                <w:sz w:val="20"/>
                <w:szCs w:val="20"/>
                <w:lang w:val="en-US"/>
              </w:rPr>
              <w:t xml:space="preserve"> </w:t>
            </w:r>
            <w:r w:rsidRPr="001B0D25">
              <w:rPr>
                <w:sz w:val="20"/>
                <w:szCs w:val="20"/>
                <w:lang w:val="en-US"/>
              </w:rPr>
              <w:t>of</w:t>
            </w:r>
            <w:r>
              <w:rPr>
                <w:sz w:val="20"/>
                <w:szCs w:val="20"/>
                <w:lang w:val="en-US"/>
              </w:rPr>
              <w:t xml:space="preserve"> relevant sections of NPC</w:t>
            </w:r>
            <w:r w:rsidRPr="001B0D25">
              <w:rPr>
                <w:sz w:val="20"/>
                <w:szCs w:val="20"/>
                <w:lang w:val="en-US"/>
              </w:rPr>
              <w:t>.</w:t>
            </w:r>
          </w:p>
          <w:p w14:paraId="0A1161CB" w14:textId="77777777" w:rsidR="00FA7D5E" w:rsidRPr="001B0D25" w:rsidRDefault="00FA7D5E" w:rsidP="00B551AA">
            <w:pPr>
              <w:pStyle w:val="ListParagraph"/>
              <w:widowControl/>
              <w:numPr>
                <w:ilvl w:val="0"/>
                <w:numId w:val="12"/>
              </w:numPr>
              <w:rPr>
                <w:sz w:val="20"/>
                <w:szCs w:val="20"/>
                <w:lang w:val="en-US"/>
              </w:rPr>
            </w:pPr>
            <w:r w:rsidRPr="001B0D25">
              <w:rPr>
                <w:sz w:val="20"/>
                <w:szCs w:val="20"/>
                <w:lang w:val="en-US"/>
              </w:rPr>
              <w:t xml:space="preserve">Prepare material </w:t>
            </w:r>
            <w:r>
              <w:rPr>
                <w:sz w:val="20"/>
                <w:szCs w:val="20"/>
                <w:lang w:val="en-US"/>
              </w:rPr>
              <w:t xml:space="preserve">for </w:t>
            </w:r>
            <w:r w:rsidRPr="001B0D25">
              <w:rPr>
                <w:sz w:val="20"/>
                <w:szCs w:val="20"/>
                <w:lang w:val="en-US"/>
              </w:rPr>
              <w:t>training, therapeutic goods safety alerts, newsletter</w:t>
            </w:r>
            <w:r>
              <w:rPr>
                <w:sz w:val="20"/>
                <w:szCs w:val="20"/>
                <w:lang w:val="en-US"/>
              </w:rPr>
              <w:t>s</w:t>
            </w:r>
            <w:r w:rsidRPr="001B0D25">
              <w:rPr>
                <w:sz w:val="20"/>
                <w:szCs w:val="20"/>
                <w:lang w:val="en-US"/>
              </w:rPr>
              <w:t xml:space="preserve"> and press release.</w:t>
            </w:r>
          </w:p>
          <w:p w14:paraId="57E16CB4" w14:textId="77777777" w:rsidR="00FA7D5E" w:rsidRPr="001B0D25" w:rsidRDefault="00FA7D5E" w:rsidP="00B551AA">
            <w:pPr>
              <w:pStyle w:val="ListParagraph"/>
              <w:widowControl/>
              <w:numPr>
                <w:ilvl w:val="0"/>
                <w:numId w:val="12"/>
              </w:numPr>
              <w:rPr>
                <w:sz w:val="20"/>
                <w:szCs w:val="20"/>
                <w:lang w:val="en-US"/>
              </w:rPr>
            </w:pPr>
            <w:r w:rsidRPr="001B0D25">
              <w:rPr>
                <w:sz w:val="20"/>
                <w:szCs w:val="20"/>
                <w:lang w:val="en-US"/>
              </w:rPr>
              <w:t>Assist Deputy Director</w:t>
            </w:r>
            <w:r>
              <w:rPr>
                <w:sz w:val="20"/>
                <w:szCs w:val="20"/>
                <w:lang w:val="en-US"/>
              </w:rPr>
              <w:t>s</w:t>
            </w:r>
            <w:r w:rsidRPr="001B0D25">
              <w:rPr>
                <w:sz w:val="20"/>
                <w:szCs w:val="20"/>
                <w:lang w:val="en-US"/>
              </w:rPr>
              <w:t xml:space="preserve"> and </w:t>
            </w:r>
            <w:r>
              <w:rPr>
                <w:sz w:val="20"/>
                <w:szCs w:val="20"/>
                <w:lang w:val="en-US"/>
              </w:rPr>
              <w:t>Additional Directors of the relevant section of NPC.</w:t>
            </w:r>
          </w:p>
          <w:p w14:paraId="7E142BEC" w14:textId="77777777" w:rsidR="00FA7D5E" w:rsidRPr="001B0D25" w:rsidRDefault="00FA7D5E" w:rsidP="00B551AA">
            <w:pPr>
              <w:pStyle w:val="ListParagraph"/>
              <w:widowControl/>
              <w:numPr>
                <w:ilvl w:val="0"/>
                <w:numId w:val="12"/>
              </w:numPr>
              <w:rPr>
                <w:sz w:val="20"/>
                <w:szCs w:val="20"/>
                <w:lang w:val="en-US"/>
              </w:rPr>
            </w:pPr>
            <w:r w:rsidRPr="001B0D25">
              <w:rPr>
                <w:sz w:val="20"/>
                <w:szCs w:val="20"/>
                <w:lang w:val="en-US"/>
              </w:rPr>
              <w:t>Communicate with PPCs and PHPs in the follow-up of PV reports.</w:t>
            </w:r>
          </w:p>
        </w:tc>
      </w:tr>
    </w:tbl>
    <w:p w14:paraId="5A16440E" w14:textId="42EEF23F" w:rsidR="004B0A87" w:rsidRPr="004B0A87" w:rsidRDefault="004B0A87" w:rsidP="004B0A87"/>
    <w:p w14:paraId="52A97926" w14:textId="36A6A561" w:rsidR="00647716" w:rsidRDefault="00647716">
      <w:pPr>
        <w:widowControl/>
        <w:spacing w:before="120" w:after="120" w:line="360" w:lineRule="auto"/>
        <w:jc w:val="both"/>
        <w:rPr>
          <w:sz w:val="24"/>
          <w:szCs w:val="24"/>
          <w:lang w:val="en-US"/>
        </w:rPr>
      </w:pPr>
      <w:r>
        <w:rPr>
          <w:sz w:val="24"/>
          <w:szCs w:val="24"/>
          <w:lang w:val="en-US"/>
        </w:rPr>
        <w:br w:type="page"/>
      </w:r>
    </w:p>
    <w:tbl>
      <w:tblPr>
        <w:tblStyle w:val="TableGrid"/>
        <w:tblW w:w="0" w:type="auto"/>
        <w:tblInd w:w="-95" w:type="dxa"/>
        <w:tblLook w:val="04A0" w:firstRow="1" w:lastRow="0" w:firstColumn="1" w:lastColumn="0" w:noHBand="0" w:noVBand="1"/>
      </w:tblPr>
      <w:tblGrid>
        <w:gridCol w:w="9445"/>
      </w:tblGrid>
      <w:tr w:rsidR="00647716" w14:paraId="5816887A" w14:textId="77777777" w:rsidTr="00102D2A">
        <w:tc>
          <w:tcPr>
            <w:tcW w:w="9445" w:type="dxa"/>
            <w:shd w:val="clear" w:color="auto" w:fill="00B0F0"/>
          </w:tcPr>
          <w:p w14:paraId="5E46AAE2" w14:textId="784FD7E7" w:rsidR="00647716" w:rsidRPr="00647716" w:rsidRDefault="005B429A" w:rsidP="00647716">
            <w:pPr>
              <w:jc w:val="center"/>
              <w:rPr>
                <w:b/>
                <w:bCs/>
                <w:sz w:val="24"/>
                <w:szCs w:val="24"/>
                <w:lang w:val="en-US"/>
              </w:rPr>
            </w:pPr>
            <w:r w:rsidRPr="005B429A">
              <w:rPr>
                <w:b/>
                <w:bCs/>
                <w:sz w:val="32"/>
                <w:szCs w:val="32"/>
                <w:lang w:val="en-US"/>
              </w:rPr>
              <w:lastRenderedPageBreak/>
              <w:t>CHAPTER 2</w:t>
            </w:r>
          </w:p>
        </w:tc>
      </w:tr>
    </w:tbl>
    <w:p w14:paraId="7E89AFDD" w14:textId="67413A64" w:rsidR="006E49D2" w:rsidRPr="006635C4" w:rsidRDefault="00106CD1" w:rsidP="003A087E">
      <w:pPr>
        <w:pStyle w:val="ListParagraph"/>
        <w:numPr>
          <w:ilvl w:val="0"/>
          <w:numId w:val="72"/>
        </w:numPr>
        <w:ind w:left="270" w:hanging="270"/>
        <w:jc w:val="both"/>
        <w:rPr>
          <w:rStyle w:val="Level1DRAPChar"/>
        </w:rPr>
      </w:pPr>
      <w:bookmarkStart w:id="10" w:name="_Toc110329927"/>
      <w:r w:rsidRPr="006635C4">
        <w:rPr>
          <w:rStyle w:val="Level1DRAPChar"/>
        </w:rPr>
        <w:t>STAKEHOLDERS OF PHARMACOVIGILANCE IN PAKISTAN.</w:t>
      </w:r>
      <w:bookmarkEnd w:id="10"/>
    </w:p>
    <w:p w14:paraId="6A585E90" w14:textId="12DA0A5C" w:rsidR="00693F65" w:rsidRPr="006E49D2" w:rsidRDefault="006E49D2" w:rsidP="005B429A">
      <w:pPr>
        <w:spacing w:before="120" w:after="120"/>
        <w:rPr>
          <w:b/>
          <w:bCs/>
          <w:sz w:val="28"/>
          <w:szCs w:val="28"/>
        </w:rPr>
      </w:pPr>
      <w:r w:rsidRPr="006E49D2">
        <w:rPr>
          <w:b/>
          <w:bCs/>
          <w:sz w:val="28"/>
          <w:szCs w:val="28"/>
        </w:rPr>
        <w:t xml:space="preserve">2.1 </w:t>
      </w:r>
      <w:r w:rsidR="00693F65" w:rsidRPr="006E49D2">
        <w:rPr>
          <w:b/>
          <w:bCs/>
          <w:sz w:val="28"/>
          <w:szCs w:val="28"/>
          <w:u w:val="single"/>
        </w:rPr>
        <w:t>Ministry of National Health Services Regulations and Coordination.</w:t>
      </w:r>
    </w:p>
    <w:p w14:paraId="5B30AD2D" w14:textId="30F00B8D" w:rsidR="00693F65" w:rsidRPr="00E90AF9" w:rsidRDefault="005B429A" w:rsidP="00E13AE7">
      <w:pPr>
        <w:pStyle w:val="ListParagraph"/>
        <w:spacing w:before="120" w:after="120" w:line="360" w:lineRule="auto"/>
        <w:ind w:left="540"/>
        <w:contextualSpacing w:val="0"/>
        <w:jc w:val="both"/>
        <w:rPr>
          <w:sz w:val="24"/>
          <w:szCs w:val="24"/>
        </w:rPr>
      </w:pPr>
      <w:r>
        <w:rPr>
          <w:sz w:val="24"/>
          <w:szCs w:val="24"/>
        </w:rPr>
        <w:t xml:space="preserve">The </w:t>
      </w:r>
      <w:r w:rsidR="00693F65">
        <w:rPr>
          <w:sz w:val="24"/>
          <w:szCs w:val="24"/>
        </w:rPr>
        <w:t>Ministry of NHSRC is the ultimate administrative body of health in Pakistan</w:t>
      </w:r>
      <w:r w:rsidR="00E02BA6">
        <w:rPr>
          <w:sz w:val="24"/>
          <w:szCs w:val="24"/>
        </w:rPr>
        <w:t xml:space="preserve"> (in respect of coordination and regulations)</w:t>
      </w:r>
      <w:r w:rsidR="00693F65">
        <w:rPr>
          <w:sz w:val="24"/>
          <w:szCs w:val="24"/>
        </w:rPr>
        <w:t xml:space="preserve"> and perform the following function</w:t>
      </w:r>
      <w:r w:rsidR="00693F65" w:rsidRPr="00E90AF9">
        <w:rPr>
          <w:sz w:val="24"/>
          <w:szCs w:val="24"/>
        </w:rPr>
        <w:t>:</w:t>
      </w:r>
    </w:p>
    <w:p w14:paraId="757082A4" w14:textId="77777777" w:rsidR="00693F65" w:rsidRPr="00E90AF9" w:rsidRDefault="00693F65" w:rsidP="00E13AE7">
      <w:pPr>
        <w:pStyle w:val="ListParagraph"/>
        <w:widowControl/>
        <w:numPr>
          <w:ilvl w:val="0"/>
          <w:numId w:val="13"/>
        </w:numPr>
        <w:spacing w:before="120" w:after="120" w:line="360" w:lineRule="auto"/>
        <w:ind w:left="1260"/>
        <w:contextualSpacing w:val="0"/>
        <w:jc w:val="both"/>
        <w:rPr>
          <w:sz w:val="24"/>
          <w:szCs w:val="24"/>
        </w:rPr>
      </w:pPr>
      <w:r w:rsidRPr="00E90AF9">
        <w:rPr>
          <w:sz w:val="24"/>
          <w:szCs w:val="24"/>
        </w:rPr>
        <w:t xml:space="preserve">To maintain and improve the health of the people of Pakistan. </w:t>
      </w:r>
    </w:p>
    <w:p w14:paraId="7850D1F9" w14:textId="77777777" w:rsidR="00693F65" w:rsidRPr="00E90AF9" w:rsidRDefault="00693F65" w:rsidP="00E13AE7">
      <w:pPr>
        <w:pStyle w:val="ListParagraph"/>
        <w:widowControl/>
        <w:numPr>
          <w:ilvl w:val="0"/>
          <w:numId w:val="13"/>
        </w:numPr>
        <w:spacing w:before="120" w:after="120" w:line="360" w:lineRule="auto"/>
        <w:ind w:left="1260"/>
        <w:contextualSpacing w:val="0"/>
        <w:jc w:val="both"/>
        <w:rPr>
          <w:sz w:val="24"/>
          <w:szCs w:val="24"/>
        </w:rPr>
      </w:pPr>
      <w:r w:rsidRPr="00E90AF9">
        <w:rPr>
          <w:sz w:val="24"/>
          <w:szCs w:val="24"/>
        </w:rPr>
        <w:t>Formulate health and drug policies.</w:t>
      </w:r>
    </w:p>
    <w:p w14:paraId="4F943C29" w14:textId="517950F0" w:rsidR="00693F65" w:rsidRDefault="00693F65" w:rsidP="00E13AE7">
      <w:pPr>
        <w:pStyle w:val="ListParagraph"/>
        <w:widowControl/>
        <w:numPr>
          <w:ilvl w:val="0"/>
          <w:numId w:val="13"/>
        </w:numPr>
        <w:spacing w:before="120" w:after="120" w:line="360" w:lineRule="auto"/>
        <w:ind w:left="1260"/>
        <w:contextualSpacing w:val="0"/>
        <w:jc w:val="both"/>
        <w:rPr>
          <w:sz w:val="24"/>
          <w:szCs w:val="24"/>
        </w:rPr>
      </w:pPr>
      <w:r>
        <w:rPr>
          <w:sz w:val="24"/>
          <w:szCs w:val="24"/>
        </w:rPr>
        <w:t>Administrative controls of laws and rules relating to therapeutic goods</w:t>
      </w:r>
      <w:r w:rsidR="00AF50AF">
        <w:rPr>
          <w:sz w:val="24"/>
          <w:szCs w:val="24"/>
        </w:rPr>
        <w:t>.</w:t>
      </w:r>
      <w:r>
        <w:rPr>
          <w:sz w:val="24"/>
          <w:szCs w:val="24"/>
        </w:rPr>
        <w:t xml:space="preserve"> </w:t>
      </w:r>
    </w:p>
    <w:p w14:paraId="04D4D0BB" w14:textId="77777777" w:rsidR="00693F65" w:rsidRPr="00A52A1D" w:rsidRDefault="00693F65" w:rsidP="00E13AE7">
      <w:pPr>
        <w:pStyle w:val="ListParagraph"/>
        <w:widowControl/>
        <w:numPr>
          <w:ilvl w:val="0"/>
          <w:numId w:val="13"/>
        </w:numPr>
        <w:spacing w:before="120" w:after="120" w:line="360" w:lineRule="auto"/>
        <w:ind w:left="1260"/>
        <w:contextualSpacing w:val="0"/>
        <w:jc w:val="both"/>
        <w:rPr>
          <w:sz w:val="24"/>
          <w:szCs w:val="24"/>
        </w:rPr>
      </w:pPr>
      <w:r w:rsidRPr="00E90AF9">
        <w:rPr>
          <w:sz w:val="24"/>
          <w:szCs w:val="24"/>
        </w:rPr>
        <w:t>National and international coordination in the field of health.</w:t>
      </w:r>
    </w:p>
    <w:p w14:paraId="7358559F" w14:textId="035D7A11" w:rsidR="00693F65" w:rsidRDefault="00E02BA6" w:rsidP="00E13AE7">
      <w:pPr>
        <w:pStyle w:val="ListParagraph"/>
        <w:widowControl/>
        <w:numPr>
          <w:ilvl w:val="0"/>
          <w:numId w:val="13"/>
        </w:numPr>
        <w:spacing w:before="120" w:after="120" w:line="360" w:lineRule="auto"/>
        <w:ind w:left="1260"/>
        <w:contextualSpacing w:val="0"/>
        <w:jc w:val="both"/>
        <w:rPr>
          <w:sz w:val="24"/>
          <w:szCs w:val="24"/>
        </w:rPr>
      </w:pPr>
      <w:r>
        <w:rPr>
          <w:sz w:val="24"/>
          <w:szCs w:val="24"/>
        </w:rPr>
        <w:t>Oversee</w:t>
      </w:r>
      <w:r w:rsidR="00693F65" w:rsidRPr="00E90AF9">
        <w:rPr>
          <w:sz w:val="24"/>
          <w:szCs w:val="24"/>
        </w:rPr>
        <w:t xml:space="preserve"> the working of </w:t>
      </w:r>
      <w:r w:rsidR="00D83A16">
        <w:rPr>
          <w:sz w:val="24"/>
          <w:szCs w:val="24"/>
        </w:rPr>
        <w:t xml:space="preserve">the </w:t>
      </w:r>
      <w:r w:rsidR="00693F65" w:rsidRPr="00E90AF9">
        <w:rPr>
          <w:sz w:val="24"/>
          <w:szCs w:val="24"/>
        </w:rPr>
        <w:t>Drug Regulatory Authority of Pakistan.</w:t>
      </w:r>
    </w:p>
    <w:p w14:paraId="1ED99DBD" w14:textId="177C1C1B" w:rsidR="00693F65" w:rsidRPr="006E49D2" w:rsidRDefault="006E49D2" w:rsidP="006E49D2">
      <w:pPr>
        <w:rPr>
          <w:b/>
          <w:bCs/>
          <w:sz w:val="28"/>
          <w:szCs w:val="28"/>
        </w:rPr>
      </w:pPr>
      <w:r>
        <w:rPr>
          <w:b/>
          <w:bCs/>
          <w:sz w:val="28"/>
          <w:szCs w:val="28"/>
        </w:rPr>
        <w:t xml:space="preserve">2.2 </w:t>
      </w:r>
      <w:r w:rsidR="00693F65" w:rsidRPr="00E43979">
        <w:rPr>
          <w:b/>
          <w:bCs/>
          <w:sz w:val="28"/>
          <w:szCs w:val="28"/>
          <w:u w:val="single"/>
        </w:rPr>
        <w:t>Drug Regulatory Authority of Pakistan (DRAP).</w:t>
      </w:r>
    </w:p>
    <w:p w14:paraId="1D852192" w14:textId="422788DE"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sidRPr="00E90AF9">
        <w:rPr>
          <w:sz w:val="24"/>
          <w:szCs w:val="24"/>
        </w:rPr>
        <w:t xml:space="preserve">The DRAP has the mandate to ensure access </w:t>
      </w:r>
      <w:r w:rsidR="00AF50AF">
        <w:rPr>
          <w:sz w:val="24"/>
          <w:szCs w:val="24"/>
        </w:rPr>
        <w:t>to</w:t>
      </w:r>
      <w:r w:rsidRPr="00E90AF9">
        <w:rPr>
          <w:sz w:val="24"/>
          <w:szCs w:val="24"/>
        </w:rPr>
        <w:t xml:space="preserve"> safe, efficacious and quality medicines </w:t>
      </w:r>
      <w:r w:rsidR="00AF50AF">
        <w:rPr>
          <w:sz w:val="24"/>
          <w:szCs w:val="24"/>
        </w:rPr>
        <w:t>for</w:t>
      </w:r>
      <w:r w:rsidRPr="00E90AF9">
        <w:rPr>
          <w:sz w:val="24"/>
          <w:szCs w:val="24"/>
        </w:rPr>
        <w:t xml:space="preserve"> the people of Pakistan.</w:t>
      </w:r>
    </w:p>
    <w:p w14:paraId="1765A393" w14:textId="75951EE4"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sidRPr="00E90AF9">
        <w:rPr>
          <w:sz w:val="24"/>
          <w:szCs w:val="24"/>
        </w:rPr>
        <w:t xml:space="preserve">Supervise the working of </w:t>
      </w:r>
      <w:r w:rsidR="00AF50AF">
        <w:rPr>
          <w:sz w:val="24"/>
          <w:szCs w:val="24"/>
        </w:rPr>
        <w:t xml:space="preserve">the </w:t>
      </w:r>
      <w:r w:rsidR="00501EAA">
        <w:rPr>
          <w:sz w:val="24"/>
          <w:szCs w:val="24"/>
        </w:rPr>
        <w:t>National Pharmacovigilance Centre</w:t>
      </w:r>
      <w:r w:rsidRPr="00E90AF9">
        <w:rPr>
          <w:sz w:val="24"/>
          <w:szCs w:val="24"/>
        </w:rPr>
        <w:t xml:space="preserve"> (</w:t>
      </w:r>
      <w:r w:rsidR="00501EAA">
        <w:rPr>
          <w:sz w:val="24"/>
          <w:szCs w:val="24"/>
        </w:rPr>
        <w:t>NPC</w:t>
      </w:r>
      <w:r w:rsidRPr="00E90AF9">
        <w:rPr>
          <w:sz w:val="24"/>
          <w:szCs w:val="24"/>
        </w:rPr>
        <w:t>), Division of Pharmacy Services.</w:t>
      </w:r>
    </w:p>
    <w:p w14:paraId="31410775" w14:textId="6BF25BC2"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sidRPr="00E90AF9">
        <w:rPr>
          <w:sz w:val="24"/>
          <w:szCs w:val="24"/>
        </w:rPr>
        <w:t xml:space="preserve">Allocation of budget to </w:t>
      </w:r>
      <w:r w:rsidR="00501EAA">
        <w:rPr>
          <w:sz w:val="24"/>
          <w:szCs w:val="24"/>
        </w:rPr>
        <w:t>National Pharmacovigilance Centre</w:t>
      </w:r>
      <w:r w:rsidRPr="00E90AF9">
        <w:rPr>
          <w:sz w:val="24"/>
          <w:szCs w:val="24"/>
        </w:rPr>
        <w:t>.</w:t>
      </w:r>
    </w:p>
    <w:p w14:paraId="26C7F12B" w14:textId="5DC71CC7"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sidRPr="00E90AF9">
        <w:rPr>
          <w:sz w:val="24"/>
          <w:szCs w:val="24"/>
        </w:rPr>
        <w:t xml:space="preserve">Hiring/Appointment of personnel for </w:t>
      </w:r>
      <w:r w:rsidR="00501EAA">
        <w:rPr>
          <w:sz w:val="24"/>
          <w:szCs w:val="24"/>
        </w:rPr>
        <w:t>NPC</w:t>
      </w:r>
      <w:r w:rsidRPr="00E90AF9">
        <w:rPr>
          <w:sz w:val="24"/>
          <w:szCs w:val="24"/>
        </w:rPr>
        <w:t>.</w:t>
      </w:r>
    </w:p>
    <w:p w14:paraId="5F7BB40B" w14:textId="294FD7F6"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sidRPr="00E90AF9">
        <w:rPr>
          <w:sz w:val="24"/>
          <w:szCs w:val="24"/>
        </w:rPr>
        <w:t xml:space="preserve">Implementation of the regulatory actions or any other risk minimization measures across Pakistan </w:t>
      </w:r>
      <w:r w:rsidR="00AF50AF">
        <w:rPr>
          <w:sz w:val="24"/>
          <w:szCs w:val="24"/>
        </w:rPr>
        <w:t xml:space="preserve">is </w:t>
      </w:r>
      <w:r w:rsidRPr="00E90AF9">
        <w:rPr>
          <w:sz w:val="24"/>
          <w:szCs w:val="24"/>
        </w:rPr>
        <w:t>as follows: implementing the decisions by other Division</w:t>
      </w:r>
      <w:r w:rsidR="00AF50AF">
        <w:rPr>
          <w:sz w:val="24"/>
          <w:szCs w:val="24"/>
        </w:rPr>
        <w:t>s</w:t>
      </w:r>
      <w:r w:rsidRPr="00E90AF9">
        <w:rPr>
          <w:sz w:val="24"/>
          <w:szCs w:val="24"/>
        </w:rPr>
        <w:t xml:space="preserve"> of DRAP; implementing the decisions by the registration holders</w:t>
      </w:r>
      <w:r w:rsidR="00E02BA6">
        <w:rPr>
          <w:sz w:val="24"/>
          <w:szCs w:val="24"/>
        </w:rPr>
        <w:t>,</w:t>
      </w:r>
      <w:r w:rsidRPr="00E90AF9">
        <w:rPr>
          <w:sz w:val="24"/>
          <w:szCs w:val="24"/>
        </w:rPr>
        <w:t xml:space="preserve"> and coordination with </w:t>
      </w:r>
      <w:r w:rsidR="00E02BA6" w:rsidRPr="00E90AF9">
        <w:rPr>
          <w:sz w:val="24"/>
          <w:szCs w:val="24"/>
        </w:rPr>
        <w:t>Provincial Health Departments</w:t>
      </w:r>
      <w:r w:rsidRPr="00E90AF9">
        <w:rPr>
          <w:sz w:val="24"/>
          <w:szCs w:val="24"/>
        </w:rPr>
        <w:t>.</w:t>
      </w:r>
    </w:p>
    <w:p w14:paraId="27B6F765" w14:textId="095745A0"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Pr>
          <w:sz w:val="24"/>
          <w:szCs w:val="24"/>
        </w:rPr>
        <w:t>Implementation of</w:t>
      </w:r>
      <w:r w:rsidRPr="00E90AF9">
        <w:rPr>
          <w:sz w:val="24"/>
          <w:szCs w:val="24"/>
        </w:rPr>
        <w:t xml:space="preserve"> the policies, legislation, </w:t>
      </w:r>
      <w:r w:rsidR="00AF50AF">
        <w:rPr>
          <w:sz w:val="24"/>
          <w:szCs w:val="24"/>
        </w:rPr>
        <w:t xml:space="preserve">and </w:t>
      </w:r>
      <w:r w:rsidRPr="00E90AF9">
        <w:rPr>
          <w:sz w:val="24"/>
          <w:szCs w:val="24"/>
        </w:rPr>
        <w:t xml:space="preserve">rules approved by </w:t>
      </w:r>
      <w:r w:rsidR="00AF50AF">
        <w:rPr>
          <w:sz w:val="24"/>
          <w:szCs w:val="24"/>
        </w:rPr>
        <w:t xml:space="preserve">the </w:t>
      </w:r>
      <w:r w:rsidRPr="00E90AF9">
        <w:rPr>
          <w:sz w:val="24"/>
          <w:szCs w:val="24"/>
        </w:rPr>
        <w:t>Ministry of NHSRC</w:t>
      </w:r>
      <w:r w:rsidR="00E02BA6">
        <w:rPr>
          <w:sz w:val="24"/>
          <w:szCs w:val="24"/>
        </w:rPr>
        <w:t xml:space="preserve"> and the Federal Government</w:t>
      </w:r>
      <w:r w:rsidRPr="00E90AF9">
        <w:rPr>
          <w:sz w:val="24"/>
          <w:szCs w:val="24"/>
        </w:rPr>
        <w:t xml:space="preserve"> related</w:t>
      </w:r>
      <w:r>
        <w:rPr>
          <w:sz w:val="24"/>
          <w:szCs w:val="24"/>
        </w:rPr>
        <w:t xml:space="preserve"> to</w:t>
      </w:r>
      <w:r w:rsidRPr="00E90AF9">
        <w:rPr>
          <w:sz w:val="24"/>
          <w:szCs w:val="24"/>
        </w:rPr>
        <w:t xml:space="preserve"> pharmacovigilance and any other aspect of therapeutic goods.</w:t>
      </w:r>
    </w:p>
    <w:p w14:paraId="313D98A9" w14:textId="77777777"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sidRPr="00E90AF9">
        <w:rPr>
          <w:sz w:val="24"/>
          <w:szCs w:val="24"/>
        </w:rPr>
        <w:t>Approve guidelines, procedures and reporting forms related to Pharmacovigilance.</w:t>
      </w:r>
    </w:p>
    <w:p w14:paraId="2316635D" w14:textId="04532893"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sidRPr="00E90AF9">
        <w:rPr>
          <w:sz w:val="24"/>
          <w:szCs w:val="24"/>
        </w:rPr>
        <w:t xml:space="preserve">Coordinate with </w:t>
      </w:r>
      <w:r w:rsidR="00E02BA6" w:rsidRPr="00E90AF9">
        <w:rPr>
          <w:sz w:val="24"/>
          <w:szCs w:val="24"/>
        </w:rPr>
        <w:t xml:space="preserve">Provincial Health Departments </w:t>
      </w:r>
      <w:r w:rsidRPr="00E90AF9">
        <w:rPr>
          <w:sz w:val="24"/>
          <w:szCs w:val="24"/>
        </w:rPr>
        <w:t>in respect of therapeutic goods safety and other matter of Drugs legislations.</w:t>
      </w:r>
    </w:p>
    <w:p w14:paraId="2CEEA3B4" w14:textId="563AA994" w:rsidR="00693F65" w:rsidRPr="00E90AF9" w:rsidRDefault="00693F65" w:rsidP="00E13AE7">
      <w:pPr>
        <w:pStyle w:val="ListParagraph"/>
        <w:widowControl/>
        <w:numPr>
          <w:ilvl w:val="0"/>
          <w:numId w:val="14"/>
        </w:numPr>
        <w:spacing w:before="120" w:after="120" w:line="360" w:lineRule="auto"/>
        <w:ind w:hanging="533"/>
        <w:contextualSpacing w:val="0"/>
        <w:jc w:val="both"/>
        <w:rPr>
          <w:sz w:val="24"/>
          <w:szCs w:val="24"/>
        </w:rPr>
      </w:pPr>
      <w:r>
        <w:rPr>
          <w:sz w:val="24"/>
          <w:szCs w:val="24"/>
        </w:rPr>
        <w:lastRenderedPageBreak/>
        <w:t xml:space="preserve">Notify pharmacovigilance </w:t>
      </w:r>
      <w:r w:rsidRPr="00E90AF9">
        <w:rPr>
          <w:sz w:val="24"/>
          <w:szCs w:val="24"/>
        </w:rPr>
        <w:t xml:space="preserve">officers working at </w:t>
      </w:r>
      <w:r w:rsidR="00501EAA">
        <w:rPr>
          <w:sz w:val="24"/>
          <w:szCs w:val="24"/>
        </w:rPr>
        <w:t>NPC</w:t>
      </w:r>
      <w:r w:rsidRPr="00E90AF9">
        <w:rPr>
          <w:sz w:val="24"/>
          <w:szCs w:val="24"/>
        </w:rPr>
        <w:t>.</w:t>
      </w:r>
    </w:p>
    <w:p w14:paraId="5A0AFDB7" w14:textId="1BC6935B" w:rsidR="00693F65" w:rsidRPr="001E7F76" w:rsidRDefault="001E7F76" w:rsidP="001E7F76">
      <w:pPr>
        <w:rPr>
          <w:b/>
          <w:bCs/>
          <w:sz w:val="28"/>
          <w:szCs w:val="28"/>
        </w:rPr>
      </w:pPr>
      <w:r>
        <w:rPr>
          <w:b/>
          <w:bCs/>
          <w:sz w:val="28"/>
          <w:szCs w:val="28"/>
        </w:rPr>
        <w:t xml:space="preserve">2.3 </w:t>
      </w:r>
      <w:r w:rsidR="00693F65" w:rsidRPr="001E7F76">
        <w:rPr>
          <w:b/>
          <w:bCs/>
          <w:sz w:val="28"/>
          <w:szCs w:val="28"/>
          <w:u w:val="single"/>
        </w:rPr>
        <w:t>National Pharmacovigilance Centre (</w:t>
      </w:r>
      <w:r w:rsidR="00501EAA">
        <w:rPr>
          <w:b/>
          <w:bCs/>
          <w:sz w:val="28"/>
          <w:szCs w:val="28"/>
          <w:u w:val="single"/>
        </w:rPr>
        <w:t>NPC</w:t>
      </w:r>
      <w:r w:rsidR="00E13AE7">
        <w:rPr>
          <w:b/>
          <w:bCs/>
          <w:sz w:val="28"/>
          <w:szCs w:val="28"/>
          <w:u w:val="single"/>
        </w:rPr>
        <w:t>)</w:t>
      </w:r>
      <w:r w:rsidR="00076FBB">
        <w:rPr>
          <w:b/>
          <w:bCs/>
          <w:sz w:val="28"/>
          <w:szCs w:val="28"/>
          <w:u w:val="single"/>
        </w:rPr>
        <w:t>.</w:t>
      </w:r>
    </w:p>
    <w:p w14:paraId="72B440B3" w14:textId="32768F41"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Work a</w:t>
      </w:r>
      <w:r w:rsidR="00CE0B8F">
        <w:rPr>
          <w:sz w:val="24"/>
          <w:szCs w:val="24"/>
        </w:rPr>
        <w:t>t</w:t>
      </w:r>
      <w:r w:rsidRPr="00E90AF9">
        <w:rPr>
          <w:sz w:val="24"/>
          <w:szCs w:val="24"/>
        </w:rPr>
        <w:t xml:space="preserve"> </w:t>
      </w:r>
      <w:r w:rsidR="007D0AB1">
        <w:rPr>
          <w:sz w:val="24"/>
          <w:szCs w:val="24"/>
        </w:rPr>
        <w:t xml:space="preserve">the </w:t>
      </w:r>
      <w:r w:rsidRPr="00E90AF9">
        <w:rPr>
          <w:sz w:val="24"/>
          <w:szCs w:val="24"/>
        </w:rPr>
        <w:t>National Centre of Pharmacovigilance in Pakistan.</w:t>
      </w:r>
    </w:p>
    <w:p w14:paraId="08231076" w14:textId="77777777"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Coordinate with World Health Organization and Uppsala Monitoring Centre.</w:t>
      </w:r>
    </w:p>
    <w:p w14:paraId="443B350A" w14:textId="68C6DD40"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Coordinate with Provincial Pharmacovigilance Centres, Registration Holders and Public Health Programme</w:t>
      </w:r>
      <w:r w:rsidR="00501EAA">
        <w:rPr>
          <w:sz w:val="24"/>
          <w:szCs w:val="24"/>
        </w:rPr>
        <w:t>s</w:t>
      </w:r>
      <w:r w:rsidRPr="00E90AF9">
        <w:rPr>
          <w:sz w:val="24"/>
          <w:szCs w:val="24"/>
        </w:rPr>
        <w:t>.</w:t>
      </w:r>
    </w:p>
    <w:p w14:paraId="2E6EA6FC" w14:textId="77777777"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Coordination with hospitals and academia for the pharmacovigilance system development of Pakistan.</w:t>
      </w:r>
    </w:p>
    <w:p w14:paraId="6608F008" w14:textId="02F39946"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Detect, manage, asse</w:t>
      </w:r>
      <w:r w:rsidR="0082144C">
        <w:rPr>
          <w:sz w:val="24"/>
          <w:szCs w:val="24"/>
        </w:rPr>
        <w:t>s</w:t>
      </w:r>
      <w:r w:rsidRPr="00E90AF9">
        <w:rPr>
          <w:sz w:val="24"/>
          <w:szCs w:val="24"/>
        </w:rPr>
        <w:t xml:space="preserve">s and confirm new signals in </w:t>
      </w:r>
      <w:r w:rsidR="00CE0B8F">
        <w:rPr>
          <w:sz w:val="24"/>
          <w:szCs w:val="24"/>
        </w:rPr>
        <w:t xml:space="preserve">the </w:t>
      </w:r>
      <w:r w:rsidRPr="00E90AF9">
        <w:rPr>
          <w:sz w:val="24"/>
          <w:szCs w:val="24"/>
        </w:rPr>
        <w:t>Pakistan ADRs database.</w:t>
      </w:r>
    </w:p>
    <w:p w14:paraId="7FED3E9D" w14:textId="11AFDF7C"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 xml:space="preserve">With the approval of </w:t>
      </w:r>
      <w:r w:rsidR="00CE0B8F">
        <w:rPr>
          <w:sz w:val="24"/>
          <w:szCs w:val="24"/>
        </w:rPr>
        <w:t xml:space="preserve">the </w:t>
      </w:r>
      <w:r w:rsidR="00300CF4">
        <w:rPr>
          <w:sz w:val="24"/>
          <w:szCs w:val="24"/>
        </w:rPr>
        <w:t>PRAEC</w:t>
      </w:r>
      <w:r w:rsidRPr="00E90AF9">
        <w:rPr>
          <w:sz w:val="24"/>
          <w:szCs w:val="24"/>
        </w:rPr>
        <w:t xml:space="preserve"> recommend regulatory actions</w:t>
      </w:r>
      <w:r>
        <w:rPr>
          <w:sz w:val="24"/>
          <w:szCs w:val="24"/>
        </w:rPr>
        <w:t xml:space="preserve"> and risk minimization measures</w:t>
      </w:r>
      <w:r w:rsidRPr="00E90AF9">
        <w:rPr>
          <w:sz w:val="24"/>
          <w:szCs w:val="24"/>
        </w:rPr>
        <w:t xml:space="preserve"> to concerned </w:t>
      </w:r>
      <w:r w:rsidR="00CC4861" w:rsidRPr="00E90AF9">
        <w:rPr>
          <w:sz w:val="24"/>
          <w:szCs w:val="24"/>
        </w:rPr>
        <w:t>Boards</w:t>
      </w:r>
      <w:r w:rsidRPr="00E90AF9">
        <w:rPr>
          <w:sz w:val="24"/>
          <w:szCs w:val="24"/>
        </w:rPr>
        <w:t xml:space="preserve">/ </w:t>
      </w:r>
      <w:r w:rsidR="00CC4861" w:rsidRPr="00E90AF9">
        <w:rPr>
          <w:sz w:val="24"/>
          <w:szCs w:val="24"/>
        </w:rPr>
        <w:t>Committee</w:t>
      </w:r>
      <w:r w:rsidR="00CC4861">
        <w:rPr>
          <w:sz w:val="24"/>
          <w:szCs w:val="24"/>
        </w:rPr>
        <w:t>s</w:t>
      </w:r>
      <w:r w:rsidRPr="00E90AF9">
        <w:rPr>
          <w:sz w:val="24"/>
          <w:szCs w:val="24"/>
        </w:rPr>
        <w:t>/ Divisions of DRAP for implementation within Pakistan.</w:t>
      </w:r>
    </w:p>
    <w:p w14:paraId="4B8819D3" w14:textId="2E0B7765"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bCs/>
          <w:sz w:val="24"/>
          <w:szCs w:val="24"/>
        </w:rPr>
        <w:t>Communication of risk minimization measures, regulatory actions and signal</w:t>
      </w:r>
      <w:r w:rsidR="000C338F">
        <w:rPr>
          <w:bCs/>
          <w:sz w:val="24"/>
          <w:szCs w:val="24"/>
        </w:rPr>
        <w:t>s</w:t>
      </w:r>
      <w:r w:rsidRPr="00E90AF9">
        <w:rPr>
          <w:bCs/>
          <w:sz w:val="24"/>
          <w:szCs w:val="24"/>
        </w:rPr>
        <w:t xml:space="preserve"> to concerned stakeholders.</w:t>
      </w:r>
    </w:p>
    <w:p w14:paraId="3F53992E" w14:textId="5A738803"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Pr>
          <w:sz w:val="24"/>
          <w:szCs w:val="24"/>
        </w:rPr>
        <w:t xml:space="preserve">Implementation of </w:t>
      </w:r>
      <w:r w:rsidR="00E73BCA" w:rsidRPr="00E90AF9">
        <w:rPr>
          <w:sz w:val="24"/>
          <w:szCs w:val="24"/>
        </w:rPr>
        <w:t>Post</w:t>
      </w:r>
      <w:r>
        <w:rPr>
          <w:sz w:val="24"/>
          <w:szCs w:val="24"/>
        </w:rPr>
        <w:t>-</w:t>
      </w:r>
      <w:r w:rsidR="00E73BCA">
        <w:rPr>
          <w:sz w:val="24"/>
          <w:szCs w:val="24"/>
        </w:rPr>
        <w:t xml:space="preserve">Authorization Safety Studies </w:t>
      </w:r>
      <w:r>
        <w:rPr>
          <w:sz w:val="24"/>
          <w:szCs w:val="24"/>
        </w:rPr>
        <w:t xml:space="preserve">through </w:t>
      </w:r>
      <w:r w:rsidRPr="00E90AF9">
        <w:rPr>
          <w:sz w:val="24"/>
          <w:szCs w:val="24"/>
        </w:rPr>
        <w:t xml:space="preserve">registration holders </w:t>
      </w:r>
      <w:r>
        <w:rPr>
          <w:sz w:val="24"/>
          <w:szCs w:val="24"/>
        </w:rPr>
        <w:t>if imposed by PRAEC</w:t>
      </w:r>
      <w:r w:rsidRPr="00E90AF9">
        <w:rPr>
          <w:sz w:val="24"/>
          <w:szCs w:val="24"/>
        </w:rPr>
        <w:t>.</w:t>
      </w:r>
    </w:p>
    <w:p w14:paraId="05285846" w14:textId="77777777"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Maintain Pakistan’s National ADRs database.</w:t>
      </w:r>
    </w:p>
    <w:p w14:paraId="77CF31BE" w14:textId="6A1369CC"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 xml:space="preserve">Training of Pharmacovigilance officers of </w:t>
      </w:r>
      <w:r w:rsidR="00501EAA">
        <w:rPr>
          <w:sz w:val="24"/>
          <w:szCs w:val="24"/>
        </w:rPr>
        <w:t>NPC</w:t>
      </w:r>
      <w:r w:rsidRPr="00E90AF9">
        <w:rPr>
          <w:sz w:val="24"/>
          <w:szCs w:val="24"/>
        </w:rPr>
        <w:t>, PPCs and PHPs.</w:t>
      </w:r>
    </w:p>
    <w:p w14:paraId="62B44EB1" w14:textId="13C3A890"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Collection of ADRs/ AE from PPCs, PHPs, Registration Holders, HCPs and Patients.</w:t>
      </w:r>
    </w:p>
    <w:p w14:paraId="3A3BC221" w14:textId="542666A4"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sz w:val="24"/>
          <w:szCs w:val="24"/>
        </w:rPr>
        <w:t>Convene meeting</w:t>
      </w:r>
      <w:r w:rsidR="00300CF4">
        <w:rPr>
          <w:sz w:val="24"/>
          <w:szCs w:val="24"/>
        </w:rPr>
        <w:t>s</w:t>
      </w:r>
      <w:r w:rsidRPr="00E90AF9">
        <w:rPr>
          <w:sz w:val="24"/>
          <w:szCs w:val="24"/>
        </w:rPr>
        <w:t xml:space="preserve"> of PRAEC.</w:t>
      </w:r>
    </w:p>
    <w:p w14:paraId="2193400F" w14:textId="62FA10A9"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bCs/>
          <w:sz w:val="24"/>
          <w:szCs w:val="24"/>
        </w:rPr>
        <w:t>Encourage distributors, healthcare professionals and patients to report suspected adverse reactions</w:t>
      </w:r>
      <w:r>
        <w:rPr>
          <w:bCs/>
          <w:sz w:val="24"/>
          <w:szCs w:val="24"/>
        </w:rPr>
        <w:t xml:space="preserve"> and events</w:t>
      </w:r>
      <w:r w:rsidRPr="00E90AF9">
        <w:rPr>
          <w:bCs/>
          <w:sz w:val="24"/>
          <w:szCs w:val="24"/>
        </w:rPr>
        <w:t xml:space="preserve"> to the </w:t>
      </w:r>
      <w:r w:rsidR="00501EAA">
        <w:rPr>
          <w:bCs/>
          <w:sz w:val="24"/>
          <w:szCs w:val="24"/>
        </w:rPr>
        <w:t>NPC</w:t>
      </w:r>
      <w:r w:rsidRPr="00E90AF9">
        <w:rPr>
          <w:bCs/>
          <w:sz w:val="24"/>
          <w:szCs w:val="24"/>
        </w:rPr>
        <w:t>.</w:t>
      </w:r>
    </w:p>
    <w:p w14:paraId="290D51A6" w14:textId="6F025990"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bCs/>
          <w:sz w:val="24"/>
          <w:szCs w:val="24"/>
        </w:rPr>
        <w:t xml:space="preserve">Frame standard operating procedures, guidelines, regulations, </w:t>
      </w:r>
      <w:r w:rsidR="00D22004">
        <w:rPr>
          <w:bCs/>
          <w:sz w:val="24"/>
          <w:szCs w:val="24"/>
        </w:rPr>
        <w:t xml:space="preserve">and </w:t>
      </w:r>
      <w:r w:rsidRPr="00E90AF9">
        <w:rPr>
          <w:bCs/>
          <w:sz w:val="24"/>
          <w:szCs w:val="24"/>
        </w:rPr>
        <w:t>rules related to pharmacovigilance.</w:t>
      </w:r>
    </w:p>
    <w:p w14:paraId="7F020ABE" w14:textId="77777777"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bCs/>
          <w:sz w:val="24"/>
          <w:szCs w:val="24"/>
        </w:rPr>
        <w:t xml:space="preserve">Sharing of pharmacovigilance data of Pakistan to </w:t>
      </w:r>
      <w:proofErr w:type="spellStart"/>
      <w:r w:rsidRPr="00E90AF9">
        <w:rPr>
          <w:bCs/>
          <w:sz w:val="24"/>
          <w:szCs w:val="24"/>
        </w:rPr>
        <w:t>VigiBase</w:t>
      </w:r>
      <w:proofErr w:type="spellEnd"/>
      <w:r w:rsidRPr="00E90AF9">
        <w:rPr>
          <w:bCs/>
          <w:sz w:val="24"/>
          <w:szCs w:val="24"/>
        </w:rPr>
        <w:t>.</w:t>
      </w:r>
    </w:p>
    <w:p w14:paraId="0C631922" w14:textId="77777777"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bCs/>
          <w:sz w:val="24"/>
          <w:szCs w:val="24"/>
        </w:rPr>
        <w:t>Issue therapeutic goods safety alerts.</w:t>
      </w:r>
    </w:p>
    <w:p w14:paraId="50C7D570" w14:textId="77777777"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bCs/>
          <w:sz w:val="24"/>
          <w:szCs w:val="24"/>
        </w:rPr>
        <w:lastRenderedPageBreak/>
        <w:t>Publish news letters on pharmacovigilance activities.</w:t>
      </w:r>
    </w:p>
    <w:p w14:paraId="1D540A59" w14:textId="4063F465" w:rsidR="00693F65" w:rsidRPr="00E90AF9" w:rsidRDefault="00693F65" w:rsidP="00300CF4">
      <w:pPr>
        <w:pStyle w:val="ListParagraph"/>
        <w:widowControl/>
        <w:numPr>
          <w:ilvl w:val="0"/>
          <w:numId w:val="15"/>
        </w:numPr>
        <w:spacing w:before="120" w:after="120" w:line="360" w:lineRule="auto"/>
        <w:ind w:left="1454" w:hanging="547"/>
        <w:contextualSpacing w:val="0"/>
        <w:jc w:val="both"/>
        <w:rPr>
          <w:sz w:val="24"/>
          <w:szCs w:val="24"/>
        </w:rPr>
      </w:pPr>
      <w:r w:rsidRPr="00E90AF9">
        <w:rPr>
          <w:bCs/>
          <w:sz w:val="24"/>
          <w:szCs w:val="24"/>
        </w:rPr>
        <w:t>Conduct awareness campaign</w:t>
      </w:r>
      <w:r w:rsidR="00300CF4">
        <w:rPr>
          <w:bCs/>
          <w:sz w:val="24"/>
          <w:szCs w:val="24"/>
        </w:rPr>
        <w:t>s</w:t>
      </w:r>
      <w:r w:rsidRPr="00E90AF9">
        <w:rPr>
          <w:bCs/>
          <w:sz w:val="24"/>
          <w:szCs w:val="24"/>
        </w:rPr>
        <w:t xml:space="preserve"> for HCPs and patients.</w:t>
      </w:r>
    </w:p>
    <w:p w14:paraId="3C1DB7F2" w14:textId="1D35C3C4" w:rsidR="00693F65" w:rsidRPr="001E7F76" w:rsidRDefault="001E7F76" w:rsidP="00B522B6">
      <w:pPr>
        <w:jc w:val="both"/>
        <w:rPr>
          <w:b/>
          <w:bCs/>
          <w:sz w:val="28"/>
          <w:szCs w:val="28"/>
        </w:rPr>
      </w:pPr>
      <w:r>
        <w:rPr>
          <w:b/>
          <w:bCs/>
          <w:sz w:val="28"/>
          <w:szCs w:val="28"/>
        </w:rPr>
        <w:t>2</w:t>
      </w:r>
      <w:r w:rsidR="00B522B6">
        <w:rPr>
          <w:b/>
          <w:bCs/>
          <w:sz w:val="28"/>
          <w:szCs w:val="28"/>
        </w:rPr>
        <w:t>.4</w:t>
      </w:r>
      <w:r w:rsidR="0099206B">
        <w:rPr>
          <w:b/>
          <w:bCs/>
          <w:sz w:val="28"/>
          <w:szCs w:val="28"/>
        </w:rPr>
        <w:t xml:space="preserve"> </w:t>
      </w:r>
      <w:r w:rsidR="00693F65" w:rsidRPr="00B522B6">
        <w:rPr>
          <w:b/>
          <w:bCs/>
          <w:sz w:val="28"/>
          <w:szCs w:val="28"/>
          <w:u w:val="single"/>
        </w:rPr>
        <w:t>Provincial Pharmacovigilance Centres &amp; Provincial Governments.</w:t>
      </w:r>
    </w:p>
    <w:p w14:paraId="5B26A0EB" w14:textId="4C81657B" w:rsidR="00693F65" w:rsidRPr="00E90AF9" w:rsidRDefault="00693F65" w:rsidP="00E73BCA">
      <w:pPr>
        <w:spacing w:before="120" w:after="120" w:line="360" w:lineRule="auto"/>
        <w:ind w:left="540"/>
        <w:jc w:val="both"/>
        <w:rPr>
          <w:bCs/>
          <w:sz w:val="24"/>
          <w:szCs w:val="24"/>
        </w:rPr>
      </w:pPr>
      <w:r w:rsidRPr="00E90AF9">
        <w:rPr>
          <w:sz w:val="24"/>
          <w:szCs w:val="24"/>
        </w:rPr>
        <w:t>PPCs are established by Health Departments of the respective Province</w:t>
      </w:r>
      <w:r w:rsidR="00693C4E">
        <w:rPr>
          <w:sz w:val="24"/>
          <w:szCs w:val="24"/>
        </w:rPr>
        <w:t xml:space="preserve"> as per Pharmacovigilance Rules, 2022</w:t>
      </w:r>
      <w:r w:rsidRPr="00E90AF9">
        <w:rPr>
          <w:sz w:val="24"/>
          <w:szCs w:val="24"/>
        </w:rPr>
        <w:t xml:space="preserve">, which at first nominate </w:t>
      </w:r>
      <w:r w:rsidR="00E73BCA">
        <w:rPr>
          <w:sz w:val="24"/>
          <w:szCs w:val="24"/>
        </w:rPr>
        <w:t xml:space="preserve">their </w:t>
      </w:r>
      <w:r w:rsidRPr="00E90AF9">
        <w:rPr>
          <w:sz w:val="24"/>
          <w:szCs w:val="24"/>
        </w:rPr>
        <w:t>Focal Person</w:t>
      </w:r>
      <w:r w:rsidR="00E73BCA">
        <w:rPr>
          <w:sz w:val="24"/>
          <w:szCs w:val="24"/>
        </w:rPr>
        <w:t>s</w:t>
      </w:r>
      <w:r w:rsidRPr="00E90AF9">
        <w:rPr>
          <w:sz w:val="24"/>
          <w:szCs w:val="24"/>
        </w:rPr>
        <w:t xml:space="preserve"> of Pharmacovigilance for coordination with </w:t>
      </w:r>
      <w:r w:rsidR="00501EAA">
        <w:rPr>
          <w:sz w:val="24"/>
          <w:szCs w:val="24"/>
        </w:rPr>
        <w:t>NPC</w:t>
      </w:r>
      <w:r w:rsidRPr="00E90AF9">
        <w:rPr>
          <w:sz w:val="24"/>
          <w:szCs w:val="24"/>
        </w:rPr>
        <w:t xml:space="preserve"> and then notify/constitute the Provincial </w:t>
      </w:r>
      <w:r w:rsidR="00E73BCA" w:rsidRPr="00E90AF9">
        <w:rPr>
          <w:sz w:val="24"/>
          <w:szCs w:val="24"/>
        </w:rPr>
        <w:t xml:space="preserve">Pharmacovigilance </w:t>
      </w:r>
      <w:r w:rsidR="00D22004" w:rsidRPr="00E90AF9">
        <w:rPr>
          <w:sz w:val="24"/>
          <w:szCs w:val="24"/>
        </w:rPr>
        <w:t>Committee</w:t>
      </w:r>
      <w:r w:rsidR="00D22004">
        <w:rPr>
          <w:sz w:val="24"/>
          <w:szCs w:val="24"/>
        </w:rPr>
        <w:t>s</w:t>
      </w:r>
      <w:r w:rsidRPr="00E90AF9">
        <w:rPr>
          <w:b/>
          <w:bCs/>
          <w:sz w:val="24"/>
          <w:szCs w:val="24"/>
        </w:rPr>
        <w:t>.</w:t>
      </w:r>
      <w:r w:rsidRPr="00E90AF9">
        <w:rPr>
          <w:bCs/>
          <w:sz w:val="24"/>
          <w:szCs w:val="24"/>
        </w:rPr>
        <w:t xml:space="preserve"> Following are the functions of </w:t>
      </w:r>
      <w:proofErr w:type="gramStart"/>
      <w:r w:rsidRPr="00E90AF9">
        <w:rPr>
          <w:bCs/>
          <w:sz w:val="24"/>
          <w:szCs w:val="24"/>
        </w:rPr>
        <w:t>PPC:</w:t>
      </w:r>
      <w:r w:rsidR="00D22004">
        <w:rPr>
          <w:bCs/>
          <w:sz w:val="24"/>
          <w:szCs w:val="24"/>
        </w:rPr>
        <w:t>s</w:t>
      </w:r>
      <w:proofErr w:type="gramEnd"/>
    </w:p>
    <w:p w14:paraId="73F847B0" w14:textId="1B1F0AFC" w:rsidR="00693F65" w:rsidRPr="00E90AF9" w:rsidRDefault="00693F65" w:rsidP="00E73BCA">
      <w:pPr>
        <w:pStyle w:val="ListParagraph"/>
        <w:widowControl/>
        <w:numPr>
          <w:ilvl w:val="0"/>
          <w:numId w:val="16"/>
        </w:numPr>
        <w:spacing w:before="120" w:after="120" w:line="360" w:lineRule="auto"/>
        <w:ind w:hanging="720"/>
        <w:contextualSpacing w:val="0"/>
        <w:jc w:val="both"/>
        <w:rPr>
          <w:b/>
          <w:sz w:val="24"/>
          <w:szCs w:val="24"/>
        </w:rPr>
      </w:pPr>
      <w:r w:rsidRPr="00E90AF9">
        <w:rPr>
          <w:bCs/>
          <w:sz w:val="24"/>
          <w:szCs w:val="24"/>
        </w:rPr>
        <w:t xml:space="preserve">Collection of reports from public and private hospitals, </w:t>
      </w:r>
      <w:r w:rsidR="00D22004">
        <w:rPr>
          <w:bCs/>
          <w:sz w:val="24"/>
          <w:szCs w:val="24"/>
        </w:rPr>
        <w:t xml:space="preserve">and </w:t>
      </w:r>
      <w:r w:rsidRPr="00E90AF9">
        <w:rPr>
          <w:bCs/>
          <w:sz w:val="24"/>
          <w:szCs w:val="24"/>
        </w:rPr>
        <w:t>therapeutic goods’ sale points such as (pharmacies, medical store</w:t>
      </w:r>
      <w:r w:rsidR="00E73BCA">
        <w:rPr>
          <w:bCs/>
          <w:sz w:val="24"/>
          <w:szCs w:val="24"/>
        </w:rPr>
        <w:t>s</w:t>
      </w:r>
      <w:r w:rsidRPr="00E90AF9">
        <w:rPr>
          <w:bCs/>
          <w:sz w:val="24"/>
          <w:szCs w:val="24"/>
        </w:rPr>
        <w:t>, retailers and distributors).</w:t>
      </w:r>
    </w:p>
    <w:p w14:paraId="16E30F7E" w14:textId="77777777" w:rsidR="00693F65" w:rsidRPr="00E90AF9" w:rsidRDefault="00693F65" w:rsidP="00E73BCA">
      <w:pPr>
        <w:pStyle w:val="ListParagraph"/>
        <w:widowControl/>
        <w:numPr>
          <w:ilvl w:val="0"/>
          <w:numId w:val="16"/>
        </w:numPr>
        <w:spacing w:before="120" w:after="120" w:line="360" w:lineRule="auto"/>
        <w:ind w:hanging="720"/>
        <w:contextualSpacing w:val="0"/>
        <w:jc w:val="both"/>
        <w:rPr>
          <w:b/>
          <w:sz w:val="24"/>
          <w:szCs w:val="24"/>
        </w:rPr>
      </w:pPr>
      <w:r w:rsidRPr="00E90AF9">
        <w:rPr>
          <w:bCs/>
          <w:sz w:val="24"/>
          <w:szCs w:val="24"/>
        </w:rPr>
        <w:t>Sign Memorandum</w:t>
      </w:r>
      <w:r>
        <w:rPr>
          <w:bCs/>
          <w:sz w:val="24"/>
          <w:szCs w:val="24"/>
        </w:rPr>
        <w:t>s</w:t>
      </w:r>
      <w:r w:rsidRPr="00E90AF9">
        <w:rPr>
          <w:bCs/>
          <w:sz w:val="24"/>
          <w:szCs w:val="24"/>
        </w:rPr>
        <w:t xml:space="preserve"> of Understanding with hospitals and academia of the province.</w:t>
      </w:r>
    </w:p>
    <w:p w14:paraId="1FD625A0" w14:textId="77777777"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sz w:val="24"/>
          <w:szCs w:val="24"/>
        </w:rPr>
        <w:t xml:space="preserve">Perform the causality assessment of AEs reports submitted to PPC and review causality assessment of collected ADRs reports </w:t>
      </w:r>
    </w:p>
    <w:p w14:paraId="756E1E39" w14:textId="547DBF3A"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 xml:space="preserve">Submission of pharmacovigilance data to </w:t>
      </w:r>
      <w:r w:rsidR="00501EAA">
        <w:rPr>
          <w:bCs/>
          <w:sz w:val="24"/>
          <w:szCs w:val="24"/>
        </w:rPr>
        <w:t>NPC</w:t>
      </w:r>
      <w:r w:rsidRPr="00E90AF9">
        <w:rPr>
          <w:bCs/>
          <w:sz w:val="24"/>
          <w:szCs w:val="24"/>
        </w:rPr>
        <w:t xml:space="preserve"> on regular basis.</w:t>
      </w:r>
    </w:p>
    <w:p w14:paraId="1C8A6C44" w14:textId="77777777"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 xml:space="preserve">Support hospitals </w:t>
      </w:r>
      <w:r>
        <w:rPr>
          <w:bCs/>
          <w:sz w:val="24"/>
          <w:szCs w:val="24"/>
        </w:rPr>
        <w:t xml:space="preserve">and </w:t>
      </w:r>
      <w:r w:rsidRPr="00E90AF9">
        <w:rPr>
          <w:bCs/>
          <w:sz w:val="24"/>
          <w:szCs w:val="24"/>
        </w:rPr>
        <w:t>sub-provincial</w:t>
      </w:r>
      <w:r>
        <w:rPr>
          <w:bCs/>
          <w:sz w:val="24"/>
          <w:szCs w:val="24"/>
        </w:rPr>
        <w:t xml:space="preserve"> (Divisional) Pharmacovigilance</w:t>
      </w:r>
      <w:r w:rsidRPr="00E90AF9">
        <w:rPr>
          <w:bCs/>
          <w:sz w:val="24"/>
          <w:szCs w:val="24"/>
        </w:rPr>
        <w:t xml:space="preserve"> centres in the province.</w:t>
      </w:r>
    </w:p>
    <w:p w14:paraId="0568346A" w14:textId="77777777"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Monitor the working of pharmacovigilance officers at PPC and in public sector hospitals.</w:t>
      </w:r>
    </w:p>
    <w:p w14:paraId="09AF7378" w14:textId="16804A68"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Pharmacovigilance training of hospitals and other sub-provincial</w:t>
      </w:r>
      <w:r>
        <w:rPr>
          <w:bCs/>
          <w:sz w:val="24"/>
          <w:szCs w:val="24"/>
        </w:rPr>
        <w:t xml:space="preserve"> pharmacovigilance</w:t>
      </w:r>
      <w:r w:rsidRPr="00E90AF9">
        <w:rPr>
          <w:bCs/>
          <w:sz w:val="24"/>
          <w:szCs w:val="24"/>
        </w:rPr>
        <w:t xml:space="preserve"> centres in the provinces.</w:t>
      </w:r>
    </w:p>
    <w:p w14:paraId="2AED7579" w14:textId="77777777"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Arrange awareness session/campaign for sensitization of HCPs of the province.</w:t>
      </w:r>
    </w:p>
    <w:p w14:paraId="72C0633E" w14:textId="5508951D"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Pr>
          <w:bCs/>
          <w:sz w:val="24"/>
          <w:szCs w:val="24"/>
        </w:rPr>
        <w:t>Implement regulatory actions and</w:t>
      </w:r>
      <w:r w:rsidRPr="00E90AF9">
        <w:rPr>
          <w:bCs/>
          <w:sz w:val="24"/>
          <w:szCs w:val="24"/>
        </w:rPr>
        <w:t xml:space="preserve"> risk minimization measures of </w:t>
      </w:r>
      <w:r w:rsidR="00501EAA">
        <w:rPr>
          <w:bCs/>
          <w:sz w:val="24"/>
          <w:szCs w:val="24"/>
        </w:rPr>
        <w:t>NPC</w:t>
      </w:r>
      <w:r w:rsidRPr="00E90AF9">
        <w:rPr>
          <w:bCs/>
          <w:sz w:val="24"/>
          <w:szCs w:val="24"/>
        </w:rPr>
        <w:t xml:space="preserve"> in the province.</w:t>
      </w:r>
    </w:p>
    <w:p w14:paraId="59AC3BE1" w14:textId="600F1754"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Officer</w:t>
      </w:r>
      <w:r w:rsidR="00E73BCA">
        <w:rPr>
          <w:bCs/>
          <w:sz w:val="24"/>
          <w:szCs w:val="24"/>
        </w:rPr>
        <w:t>s</w:t>
      </w:r>
      <w:r w:rsidRPr="00E90AF9">
        <w:rPr>
          <w:bCs/>
          <w:sz w:val="24"/>
          <w:szCs w:val="24"/>
        </w:rPr>
        <w:t xml:space="preserve"> of PPCs participate in the meeting of PRAEC</w:t>
      </w:r>
      <w:r w:rsidR="00E73BCA">
        <w:rPr>
          <w:bCs/>
          <w:sz w:val="24"/>
          <w:szCs w:val="24"/>
        </w:rPr>
        <w:t xml:space="preserve"> if required.</w:t>
      </w:r>
    </w:p>
    <w:p w14:paraId="3F821868" w14:textId="77777777"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Convene meetings of Provincial pharmacovigilance Committee.</w:t>
      </w:r>
    </w:p>
    <w:p w14:paraId="7CEF164F" w14:textId="756FB556" w:rsidR="00693F65" w:rsidRPr="00E90AF9" w:rsidRDefault="00693F65" w:rsidP="00E73BCA">
      <w:pPr>
        <w:pStyle w:val="ListParagraph"/>
        <w:widowControl/>
        <w:numPr>
          <w:ilvl w:val="0"/>
          <w:numId w:val="16"/>
        </w:numPr>
        <w:spacing w:before="120" w:after="120" w:line="360" w:lineRule="auto"/>
        <w:ind w:hanging="720"/>
        <w:contextualSpacing w:val="0"/>
        <w:jc w:val="both"/>
        <w:rPr>
          <w:bCs/>
          <w:sz w:val="24"/>
          <w:szCs w:val="24"/>
        </w:rPr>
      </w:pPr>
      <w:r w:rsidRPr="00E90AF9">
        <w:rPr>
          <w:bCs/>
          <w:sz w:val="24"/>
          <w:szCs w:val="24"/>
        </w:rPr>
        <w:t>Participate in meeting</w:t>
      </w:r>
      <w:r w:rsidR="00E73BCA">
        <w:rPr>
          <w:bCs/>
          <w:sz w:val="24"/>
          <w:szCs w:val="24"/>
        </w:rPr>
        <w:t>s</w:t>
      </w:r>
      <w:r w:rsidRPr="00E90AF9">
        <w:rPr>
          <w:bCs/>
          <w:sz w:val="24"/>
          <w:szCs w:val="24"/>
        </w:rPr>
        <w:t xml:space="preserve">, training, seminars, </w:t>
      </w:r>
      <w:r w:rsidR="00E73BCA">
        <w:rPr>
          <w:bCs/>
          <w:sz w:val="24"/>
          <w:szCs w:val="24"/>
        </w:rPr>
        <w:t xml:space="preserve">and </w:t>
      </w:r>
      <w:r w:rsidRPr="00E90AF9">
        <w:rPr>
          <w:bCs/>
          <w:sz w:val="24"/>
          <w:szCs w:val="24"/>
        </w:rPr>
        <w:t xml:space="preserve">symposium arranged by </w:t>
      </w:r>
      <w:r w:rsidR="00501EAA">
        <w:rPr>
          <w:bCs/>
          <w:sz w:val="24"/>
          <w:szCs w:val="24"/>
        </w:rPr>
        <w:t>NPC</w:t>
      </w:r>
      <w:r w:rsidRPr="00E90AF9">
        <w:rPr>
          <w:bCs/>
          <w:sz w:val="24"/>
          <w:szCs w:val="24"/>
        </w:rPr>
        <w:t>.</w:t>
      </w:r>
    </w:p>
    <w:p w14:paraId="7B37CE4E" w14:textId="16B98932" w:rsidR="00693F65" w:rsidRPr="00FC192E" w:rsidRDefault="00FC192E" w:rsidP="00FC192E">
      <w:pPr>
        <w:jc w:val="both"/>
        <w:rPr>
          <w:b/>
          <w:bCs/>
          <w:sz w:val="28"/>
          <w:szCs w:val="28"/>
        </w:rPr>
      </w:pPr>
      <w:r>
        <w:rPr>
          <w:b/>
          <w:bCs/>
          <w:sz w:val="28"/>
          <w:szCs w:val="28"/>
        </w:rPr>
        <w:t xml:space="preserve">2.5 </w:t>
      </w:r>
      <w:r w:rsidR="00693F65" w:rsidRPr="00FC192E">
        <w:rPr>
          <w:b/>
          <w:bCs/>
          <w:sz w:val="28"/>
          <w:szCs w:val="28"/>
          <w:u w:val="single"/>
        </w:rPr>
        <w:t>Public Health Programmes (PHPs).</w:t>
      </w:r>
    </w:p>
    <w:p w14:paraId="26F27F0C" w14:textId="262A6453"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lastRenderedPageBreak/>
        <w:t>Pharmacovigilance centre</w:t>
      </w:r>
      <w:r>
        <w:rPr>
          <w:sz w:val="24"/>
          <w:szCs w:val="24"/>
        </w:rPr>
        <w:t>s</w:t>
      </w:r>
      <w:r w:rsidRPr="00E90AF9">
        <w:rPr>
          <w:sz w:val="24"/>
          <w:szCs w:val="24"/>
        </w:rPr>
        <w:t xml:space="preserve"> </w:t>
      </w:r>
      <w:r>
        <w:rPr>
          <w:sz w:val="24"/>
          <w:szCs w:val="24"/>
        </w:rPr>
        <w:t xml:space="preserve">are established by each </w:t>
      </w:r>
      <w:r w:rsidRPr="00E90AF9">
        <w:rPr>
          <w:sz w:val="24"/>
          <w:szCs w:val="24"/>
        </w:rPr>
        <w:t xml:space="preserve">PHP at </w:t>
      </w:r>
      <w:r w:rsidR="00E73BCA">
        <w:rPr>
          <w:sz w:val="24"/>
          <w:szCs w:val="24"/>
        </w:rPr>
        <w:t xml:space="preserve">the </w:t>
      </w:r>
      <w:r w:rsidR="00E73BCA" w:rsidRPr="00E90AF9">
        <w:rPr>
          <w:sz w:val="24"/>
          <w:szCs w:val="24"/>
        </w:rPr>
        <w:t xml:space="preserve">National </w:t>
      </w:r>
      <w:r w:rsidRPr="00E90AF9">
        <w:rPr>
          <w:sz w:val="24"/>
          <w:szCs w:val="24"/>
        </w:rPr>
        <w:t>level and i</w:t>
      </w:r>
      <w:r>
        <w:rPr>
          <w:sz w:val="24"/>
          <w:szCs w:val="24"/>
        </w:rPr>
        <w:t xml:space="preserve">ntegrate </w:t>
      </w:r>
      <w:r w:rsidRPr="00E90AF9">
        <w:rPr>
          <w:sz w:val="24"/>
          <w:szCs w:val="24"/>
        </w:rPr>
        <w:t xml:space="preserve">with </w:t>
      </w:r>
      <w:r w:rsidR="00E73BCA">
        <w:rPr>
          <w:sz w:val="24"/>
          <w:szCs w:val="24"/>
        </w:rPr>
        <w:t xml:space="preserve">the </w:t>
      </w:r>
      <w:r w:rsidRPr="00E90AF9">
        <w:rPr>
          <w:sz w:val="24"/>
          <w:szCs w:val="24"/>
        </w:rPr>
        <w:t>provincial chapter of</w:t>
      </w:r>
      <w:r>
        <w:rPr>
          <w:sz w:val="24"/>
          <w:szCs w:val="24"/>
        </w:rPr>
        <w:t xml:space="preserve"> the said</w:t>
      </w:r>
      <w:r w:rsidRPr="00E90AF9">
        <w:rPr>
          <w:sz w:val="24"/>
          <w:szCs w:val="24"/>
        </w:rPr>
        <w:t xml:space="preserve"> public health programme</w:t>
      </w:r>
      <w:r w:rsidR="00E73BCA">
        <w:rPr>
          <w:sz w:val="24"/>
          <w:szCs w:val="24"/>
        </w:rPr>
        <w:t xml:space="preserve"> as per Pharmacovigilance Rules, 2022</w:t>
      </w:r>
      <w:r w:rsidRPr="00E90AF9">
        <w:rPr>
          <w:sz w:val="24"/>
          <w:szCs w:val="24"/>
        </w:rPr>
        <w:t>.</w:t>
      </w:r>
    </w:p>
    <w:p w14:paraId="4000BAD0" w14:textId="6AE9B59E"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 xml:space="preserve">Effective coordination with </w:t>
      </w:r>
      <w:r w:rsidR="00501EAA">
        <w:rPr>
          <w:sz w:val="24"/>
          <w:szCs w:val="24"/>
        </w:rPr>
        <w:t>NPC</w:t>
      </w:r>
      <w:r w:rsidRPr="00E90AF9">
        <w:rPr>
          <w:sz w:val="24"/>
          <w:szCs w:val="24"/>
        </w:rPr>
        <w:t xml:space="preserve"> by properly nominating a Focal Person for this purpose.</w:t>
      </w:r>
    </w:p>
    <w:p w14:paraId="770B9407" w14:textId="7AE9AB80"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 xml:space="preserve">Collection of pharmacovigilance data from </w:t>
      </w:r>
      <w:r w:rsidR="00E73BCA">
        <w:rPr>
          <w:sz w:val="24"/>
          <w:szCs w:val="24"/>
        </w:rPr>
        <w:t xml:space="preserve">the </w:t>
      </w:r>
      <w:r w:rsidRPr="00E90AF9">
        <w:rPr>
          <w:sz w:val="24"/>
          <w:szCs w:val="24"/>
        </w:rPr>
        <w:t>provincial chapter of PHP and treatment sites.</w:t>
      </w:r>
    </w:p>
    <w:p w14:paraId="123AC1EA" w14:textId="6BF50D5A"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 xml:space="preserve">Regular submission of pharmacovigilance data to </w:t>
      </w:r>
      <w:r w:rsidR="00501EAA">
        <w:rPr>
          <w:sz w:val="24"/>
          <w:szCs w:val="24"/>
        </w:rPr>
        <w:t>NPC</w:t>
      </w:r>
      <w:r w:rsidRPr="00E90AF9">
        <w:rPr>
          <w:sz w:val="24"/>
          <w:szCs w:val="24"/>
        </w:rPr>
        <w:t>.</w:t>
      </w:r>
    </w:p>
    <w:p w14:paraId="732DDABD" w14:textId="71653F50"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Notification of POs at National, Provincial and site level</w:t>
      </w:r>
      <w:r w:rsidR="00E73BCA">
        <w:rPr>
          <w:sz w:val="24"/>
          <w:szCs w:val="24"/>
        </w:rPr>
        <w:t>s</w:t>
      </w:r>
      <w:r w:rsidRPr="00E90AF9">
        <w:rPr>
          <w:sz w:val="24"/>
          <w:szCs w:val="24"/>
        </w:rPr>
        <w:t xml:space="preserve"> of PHP.</w:t>
      </w:r>
    </w:p>
    <w:p w14:paraId="412D6F5C" w14:textId="77777777"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 xml:space="preserve">Constitution of an Expert Safety Review Panel (ESRP) at the National level, which shall perform the function such as causality assessment, signal detection, and establish procedures for </w:t>
      </w:r>
      <w:proofErr w:type="spellStart"/>
      <w:r w:rsidRPr="00E90AF9">
        <w:rPr>
          <w:sz w:val="24"/>
          <w:szCs w:val="24"/>
        </w:rPr>
        <w:t>pharmacoepidemiological</w:t>
      </w:r>
      <w:proofErr w:type="spellEnd"/>
      <w:r w:rsidRPr="00E90AF9">
        <w:rPr>
          <w:sz w:val="24"/>
          <w:szCs w:val="24"/>
        </w:rPr>
        <w:t xml:space="preserve"> studies and cohort event monitoring.</w:t>
      </w:r>
    </w:p>
    <w:p w14:paraId="0715E914" w14:textId="77777777"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Develop a system of active surveillance for all new drugs and other drugs that are specific to that public health programme and are associated with risks i.e. priority drugs.</w:t>
      </w:r>
    </w:p>
    <w:p w14:paraId="6E9B50C5" w14:textId="77777777"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Training of POs of PHP and awareness campaign for patients.</w:t>
      </w:r>
    </w:p>
    <w:p w14:paraId="577691B9" w14:textId="3FE0D0C9" w:rsidR="00693F65"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sidRPr="00E90AF9">
        <w:rPr>
          <w:sz w:val="24"/>
          <w:szCs w:val="24"/>
        </w:rPr>
        <w:t xml:space="preserve">Signing of MOU with </w:t>
      </w:r>
      <w:r w:rsidR="00501EAA">
        <w:rPr>
          <w:sz w:val="24"/>
          <w:szCs w:val="24"/>
        </w:rPr>
        <w:t>NPC</w:t>
      </w:r>
      <w:r w:rsidRPr="00E90AF9">
        <w:rPr>
          <w:sz w:val="24"/>
          <w:szCs w:val="24"/>
        </w:rPr>
        <w:t xml:space="preserve"> with respect to collection and submission of pharmacovigilance data.</w:t>
      </w:r>
    </w:p>
    <w:p w14:paraId="7AC13F4B" w14:textId="77777777" w:rsidR="00693F65" w:rsidRPr="00E90AF9" w:rsidRDefault="00693F65" w:rsidP="00E73BCA">
      <w:pPr>
        <w:pStyle w:val="ListParagraph"/>
        <w:widowControl/>
        <w:numPr>
          <w:ilvl w:val="0"/>
          <w:numId w:val="17"/>
        </w:numPr>
        <w:tabs>
          <w:tab w:val="left" w:pos="1710"/>
        </w:tabs>
        <w:spacing w:before="120" w:after="120" w:line="360" w:lineRule="auto"/>
        <w:ind w:left="1713" w:hanging="806"/>
        <w:contextualSpacing w:val="0"/>
        <w:jc w:val="both"/>
        <w:rPr>
          <w:sz w:val="24"/>
          <w:szCs w:val="24"/>
        </w:rPr>
      </w:pPr>
      <w:r>
        <w:rPr>
          <w:sz w:val="24"/>
          <w:szCs w:val="24"/>
        </w:rPr>
        <w:t xml:space="preserve">Public Health Programme such as Tuberculosis, HIV/AIDS, Malaria Control Programmes and Federal Expended Programme Immunization (EPI). </w:t>
      </w:r>
    </w:p>
    <w:p w14:paraId="62A61F53" w14:textId="5762C411" w:rsidR="00693F65" w:rsidRPr="00FC192E" w:rsidRDefault="00FC192E" w:rsidP="00FC192E">
      <w:pPr>
        <w:jc w:val="both"/>
        <w:rPr>
          <w:b/>
          <w:bCs/>
          <w:sz w:val="28"/>
          <w:szCs w:val="28"/>
        </w:rPr>
      </w:pPr>
      <w:r>
        <w:rPr>
          <w:b/>
          <w:bCs/>
          <w:sz w:val="28"/>
          <w:szCs w:val="28"/>
        </w:rPr>
        <w:t xml:space="preserve">2.6 </w:t>
      </w:r>
      <w:r w:rsidR="00693F65" w:rsidRPr="00FC192E">
        <w:rPr>
          <w:b/>
          <w:bCs/>
          <w:sz w:val="28"/>
          <w:szCs w:val="28"/>
          <w:u w:val="single"/>
        </w:rPr>
        <w:t xml:space="preserve">Registration </w:t>
      </w:r>
      <w:r w:rsidR="008475CF" w:rsidRPr="00FC192E">
        <w:rPr>
          <w:b/>
          <w:bCs/>
          <w:sz w:val="28"/>
          <w:szCs w:val="28"/>
          <w:u w:val="single"/>
        </w:rPr>
        <w:t xml:space="preserve">Holders </w:t>
      </w:r>
    </w:p>
    <w:p w14:paraId="1A0C8F64" w14:textId="01E75F85" w:rsidR="00693F65" w:rsidRPr="00E90AF9" w:rsidRDefault="00693F65" w:rsidP="00E73BCA">
      <w:pPr>
        <w:pStyle w:val="ListParagraph"/>
        <w:widowControl/>
        <w:numPr>
          <w:ilvl w:val="0"/>
          <w:numId w:val="18"/>
        </w:numPr>
        <w:spacing w:before="120" w:after="120" w:line="360" w:lineRule="auto"/>
        <w:ind w:left="1627" w:hanging="720"/>
        <w:contextualSpacing w:val="0"/>
        <w:jc w:val="both"/>
        <w:rPr>
          <w:b/>
          <w:bCs/>
          <w:sz w:val="24"/>
          <w:szCs w:val="24"/>
        </w:rPr>
      </w:pPr>
      <w:r w:rsidRPr="00E90AF9">
        <w:rPr>
          <w:sz w:val="24"/>
          <w:szCs w:val="24"/>
        </w:rPr>
        <w:t>Establish pharmacovigilance system</w:t>
      </w:r>
      <w:r w:rsidR="00E73BCA">
        <w:rPr>
          <w:sz w:val="24"/>
          <w:szCs w:val="24"/>
        </w:rPr>
        <w:t>s</w:t>
      </w:r>
      <w:r w:rsidRPr="00E90AF9">
        <w:rPr>
          <w:sz w:val="24"/>
          <w:szCs w:val="24"/>
        </w:rPr>
        <w:t xml:space="preserve"> for </w:t>
      </w:r>
      <w:r w:rsidR="00E73BCA">
        <w:rPr>
          <w:sz w:val="24"/>
          <w:szCs w:val="24"/>
        </w:rPr>
        <w:t xml:space="preserve">the </w:t>
      </w:r>
      <w:r w:rsidRPr="00E90AF9">
        <w:rPr>
          <w:sz w:val="24"/>
          <w:szCs w:val="24"/>
        </w:rPr>
        <w:t xml:space="preserve">fulfilment of his pharmacovigilance activities in accordance with </w:t>
      </w:r>
      <w:r w:rsidR="00E73BCA">
        <w:rPr>
          <w:sz w:val="24"/>
          <w:szCs w:val="24"/>
        </w:rPr>
        <w:t>Pharmacovigilance Rules, 2022.</w:t>
      </w:r>
    </w:p>
    <w:p w14:paraId="6EE5B9CE" w14:textId="7DB40B23" w:rsidR="00693F65" w:rsidRPr="00E90AF9" w:rsidRDefault="00693F65" w:rsidP="00E73BCA">
      <w:pPr>
        <w:pStyle w:val="ListParagraph"/>
        <w:widowControl/>
        <w:numPr>
          <w:ilvl w:val="0"/>
          <w:numId w:val="18"/>
        </w:numPr>
        <w:spacing w:before="120" w:after="120" w:line="360" w:lineRule="auto"/>
        <w:ind w:left="1627" w:hanging="720"/>
        <w:contextualSpacing w:val="0"/>
        <w:jc w:val="both"/>
        <w:rPr>
          <w:b/>
          <w:bCs/>
          <w:sz w:val="24"/>
          <w:szCs w:val="24"/>
        </w:rPr>
      </w:pPr>
      <w:r w:rsidRPr="00E90AF9">
        <w:rPr>
          <w:sz w:val="24"/>
          <w:szCs w:val="24"/>
        </w:rPr>
        <w:t xml:space="preserve">Nomination of Qualified Person of Pharmacovigilance for communication with </w:t>
      </w:r>
      <w:r w:rsidR="00501EAA">
        <w:rPr>
          <w:sz w:val="24"/>
          <w:szCs w:val="24"/>
        </w:rPr>
        <w:t>NPC</w:t>
      </w:r>
      <w:r w:rsidRPr="00E90AF9">
        <w:rPr>
          <w:sz w:val="24"/>
          <w:szCs w:val="24"/>
        </w:rPr>
        <w:t xml:space="preserve"> who is responsible for establishment and maintenance of the pharmacovigilance system</w:t>
      </w:r>
      <w:r w:rsidR="00D17859">
        <w:rPr>
          <w:sz w:val="24"/>
          <w:szCs w:val="24"/>
        </w:rPr>
        <w:t xml:space="preserve"> as per rules</w:t>
      </w:r>
      <w:r w:rsidRPr="00E90AF9">
        <w:rPr>
          <w:sz w:val="24"/>
          <w:szCs w:val="24"/>
        </w:rPr>
        <w:t>.</w:t>
      </w:r>
    </w:p>
    <w:p w14:paraId="7E1602CD" w14:textId="16B6756C" w:rsidR="00693F65" w:rsidRPr="00E90AF9" w:rsidRDefault="00693F65" w:rsidP="00E73BCA">
      <w:pPr>
        <w:pStyle w:val="ListParagraph"/>
        <w:widowControl/>
        <w:numPr>
          <w:ilvl w:val="0"/>
          <w:numId w:val="18"/>
        </w:numPr>
        <w:spacing w:before="120" w:after="120" w:line="360" w:lineRule="auto"/>
        <w:ind w:left="1627" w:hanging="720"/>
        <w:contextualSpacing w:val="0"/>
        <w:jc w:val="both"/>
        <w:rPr>
          <w:b/>
          <w:bCs/>
          <w:sz w:val="24"/>
          <w:szCs w:val="24"/>
        </w:rPr>
      </w:pPr>
      <w:r w:rsidRPr="00E90AF9">
        <w:rPr>
          <w:sz w:val="24"/>
          <w:szCs w:val="24"/>
        </w:rPr>
        <w:t xml:space="preserve">Maintenance of Pharmacovigilance System Master File and its submission to </w:t>
      </w:r>
      <w:r w:rsidR="00501EAA">
        <w:rPr>
          <w:sz w:val="24"/>
          <w:szCs w:val="24"/>
        </w:rPr>
        <w:t>NPC</w:t>
      </w:r>
      <w:r w:rsidRPr="00E90AF9">
        <w:rPr>
          <w:sz w:val="24"/>
          <w:szCs w:val="24"/>
        </w:rPr>
        <w:t>.</w:t>
      </w:r>
    </w:p>
    <w:p w14:paraId="2D767320" w14:textId="162AC862" w:rsidR="00693F65" w:rsidRPr="00E90AF9" w:rsidRDefault="00693F65" w:rsidP="00E73BCA">
      <w:pPr>
        <w:pStyle w:val="ListParagraph"/>
        <w:widowControl/>
        <w:numPr>
          <w:ilvl w:val="0"/>
          <w:numId w:val="18"/>
        </w:numPr>
        <w:spacing w:before="120" w:after="120" w:line="360" w:lineRule="auto"/>
        <w:ind w:left="1627" w:hanging="720"/>
        <w:contextualSpacing w:val="0"/>
        <w:jc w:val="both"/>
        <w:rPr>
          <w:b/>
          <w:bCs/>
          <w:sz w:val="24"/>
          <w:szCs w:val="24"/>
        </w:rPr>
      </w:pPr>
      <w:r w:rsidRPr="00E90AF9">
        <w:rPr>
          <w:sz w:val="24"/>
          <w:szCs w:val="24"/>
        </w:rPr>
        <w:lastRenderedPageBreak/>
        <w:t xml:space="preserve">Submission of ADRs/AEs to </w:t>
      </w:r>
      <w:r w:rsidR="00501EAA">
        <w:rPr>
          <w:sz w:val="24"/>
          <w:szCs w:val="24"/>
        </w:rPr>
        <w:t>NPC</w:t>
      </w:r>
      <w:r w:rsidRPr="00E90AF9">
        <w:rPr>
          <w:sz w:val="24"/>
          <w:szCs w:val="24"/>
        </w:rPr>
        <w:t xml:space="preserve"> as per the timelines prescribed in Pharmacovigilance Rules</w:t>
      </w:r>
      <w:r w:rsidR="00501EAA">
        <w:rPr>
          <w:sz w:val="24"/>
          <w:szCs w:val="24"/>
        </w:rPr>
        <w:t>, 2022</w:t>
      </w:r>
      <w:r w:rsidRPr="00E90AF9">
        <w:rPr>
          <w:sz w:val="24"/>
          <w:szCs w:val="24"/>
        </w:rPr>
        <w:t>.</w:t>
      </w:r>
    </w:p>
    <w:p w14:paraId="342B67D2" w14:textId="3C0430BC" w:rsidR="00693F65" w:rsidRPr="00E90AF9"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sidRPr="00E90AF9">
        <w:rPr>
          <w:sz w:val="24"/>
          <w:szCs w:val="24"/>
        </w:rPr>
        <w:t>Conduct non</w:t>
      </w:r>
      <w:r w:rsidR="00D17859">
        <w:rPr>
          <w:sz w:val="24"/>
          <w:szCs w:val="24"/>
        </w:rPr>
        <w:t>-</w:t>
      </w:r>
      <w:r w:rsidRPr="00E90AF9">
        <w:rPr>
          <w:sz w:val="24"/>
          <w:szCs w:val="24"/>
        </w:rPr>
        <w:t xml:space="preserve">interventional </w:t>
      </w:r>
      <w:r w:rsidR="00D17859" w:rsidRPr="00E90AF9">
        <w:rPr>
          <w:sz w:val="24"/>
          <w:szCs w:val="24"/>
        </w:rPr>
        <w:t>Post</w:t>
      </w:r>
      <w:r w:rsidR="00D17859">
        <w:rPr>
          <w:sz w:val="24"/>
          <w:szCs w:val="24"/>
        </w:rPr>
        <w:t>-</w:t>
      </w:r>
      <w:r w:rsidR="00D17859" w:rsidRPr="00E90AF9">
        <w:rPr>
          <w:sz w:val="24"/>
          <w:szCs w:val="24"/>
        </w:rPr>
        <w:t xml:space="preserve">Authorization Safety Studies </w:t>
      </w:r>
      <w:r w:rsidRPr="00E90AF9">
        <w:rPr>
          <w:sz w:val="24"/>
          <w:szCs w:val="24"/>
        </w:rPr>
        <w:t xml:space="preserve">either voluntarily or if imposed by </w:t>
      </w:r>
      <w:r w:rsidR="00501EAA">
        <w:rPr>
          <w:sz w:val="24"/>
          <w:szCs w:val="24"/>
        </w:rPr>
        <w:t>NPC</w:t>
      </w:r>
      <w:r w:rsidRPr="00E90AF9">
        <w:rPr>
          <w:sz w:val="24"/>
          <w:szCs w:val="24"/>
        </w:rPr>
        <w:t>.</w:t>
      </w:r>
    </w:p>
    <w:p w14:paraId="003AAAED" w14:textId="0DB1B6CA" w:rsidR="00693F65" w:rsidRPr="00E90AF9"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sidRPr="00E90AF9">
        <w:rPr>
          <w:sz w:val="24"/>
          <w:szCs w:val="24"/>
        </w:rPr>
        <w:t>Submission of Periodic Benefit-Risk Evaluation Reports</w:t>
      </w:r>
      <w:r w:rsidR="00D17859">
        <w:rPr>
          <w:sz w:val="24"/>
          <w:szCs w:val="24"/>
        </w:rPr>
        <w:t xml:space="preserve"> (PBRER)</w:t>
      </w:r>
      <w:r w:rsidRPr="00E90AF9">
        <w:rPr>
          <w:sz w:val="24"/>
          <w:szCs w:val="24"/>
        </w:rPr>
        <w:t xml:space="preserve"> as per the timelines prescribed in Pharmacovigilance Rules,</w:t>
      </w:r>
      <w:r w:rsidR="00501EAA">
        <w:rPr>
          <w:sz w:val="24"/>
          <w:szCs w:val="24"/>
        </w:rPr>
        <w:t xml:space="preserve"> 2022.</w:t>
      </w:r>
    </w:p>
    <w:p w14:paraId="65BBEC16" w14:textId="3ED01397" w:rsidR="00693F65" w:rsidRPr="00E90AF9"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sidRPr="00E90AF9">
        <w:rPr>
          <w:sz w:val="24"/>
          <w:szCs w:val="24"/>
        </w:rPr>
        <w:t>Submission of Risk Management Plans</w:t>
      </w:r>
      <w:r w:rsidR="00D17859">
        <w:rPr>
          <w:sz w:val="24"/>
          <w:szCs w:val="24"/>
        </w:rPr>
        <w:t xml:space="preserve"> (NPC)</w:t>
      </w:r>
      <w:r w:rsidRPr="00E90AF9">
        <w:rPr>
          <w:sz w:val="24"/>
          <w:szCs w:val="24"/>
        </w:rPr>
        <w:t xml:space="preserve"> to Registration Board and </w:t>
      </w:r>
      <w:r w:rsidR="00501EAA">
        <w:rPr>
          <w:sz w:val="24"/>
          <w:szCs w:val="24"/>
        </w:rPr>
        <w:t>NPC</w:t>
      </w:r>
      <w:r w:rsidRPr="00E90AF9">
        <w:rPr>
          <w:sz w:val="24"/>
          <w:szCs w:val="24"/>
        </w:rPr>
        <w:t>.</w:t>
      </w:r>
    </w:p>
    <w:p w14:paraId="755CE55A" w14:textId="08DDD191" w:rsidR="00693F65"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sidRPr="00E90AF9">
        <w:rPr>
          <w:sz w:val="24"/>
          <w:szCs w:val="24"/>
        </w:rPr>
        <w:t xml:space="preserve">Issuance of </w:t>
      </w:r>
      <w:r w:rsidR="00D17859">
        <w:rPr>
          <w:sz w:val="24"/>
          <w:szCs w:val="24"/>
        </w:rPr>
        <w:t>Direct Healthcare Professional Communication.</w:t>
      </w:r>
    </w:p>
    <w:p w14:paraId="07D7A25D" w14:textId="77777777" w:rsidR="00693F65" w:rsidRPr="00E90AF9"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Pr>
          <w:sz w:val="24"/>
          <w:szCs w:val="24"/>
        </w:rPr>
        <w:t>Implementation of regulatory actions and risk minimization measures.</w:t>
      </w:r>
    </w:p>
    <w:p w14:paraId="767C7637" w14:textId="02C362D7" w:rsidR="00693F65" w:rsidRPr="00E90AF9"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sidRPr="00E90AF9">
        <w:rPr>
          <w:sz w:val="24"/>
          <w:szCs w:val="24"/>
        </w:rPr>
        <w:t xml:space="preserve">Inform </w:t>
      </w:r>
      <w:r w:rsidR="00501EAA">
        <w:rPr>
          <w:sz w:val="24"/>
          <w:szCs w:val="24"/>
        </w:rPr>
        <w:t>NPC</w:t>
      </w:r>
      <w:r w:rsidRPr="00E90AF9">
        <w:rPr>
          <w:sz w:val="24"/>
          <w:szCs w:val="24"/>
        </w:rPr>
        <w:t xml:space="preserve"> about the risk of their product detected during the self-assessment process.</w:t>
      </w:r>
    </w:p>
    <w:p w14:paraId="1FD0112C" w14:textId="358EFA05" w:rsidR="00693F65" w:rsidRPr="00E90AF9"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sidRPr="00E90AF9">
        <w:rPr>
          <w:sz w:val="24"/>
          <w:szCs w:val="24"/>
        </w:rPr>
        <w:t xml:space="preserve">Submit adverse outcome reports to </w:t>
      </w:r>
      <w:r w:rsidR="00501EAA">
        <w:rPr>
          <w:sz w:val="24"/>
          <w:szCs w:val="24"/>
        </w:rPr>
        <w:t>NPC</w:t>
      </w:r>
      <w:r w:rsidRPr="00E90AF9">
        <w:rPr>
          <w:sz w:val="24"/>
          <w:szCs w:val="24"/>
        </w:rPr>
        <w:t xml:space="preserve"> in case of abuse, misuse, overdose, off</w:t>
      </w:r>
      <w:r w:rsidR="00D17859">
        <w:rPr>
          <w:sz w:val="24"/>
          <w:szCs w:val="24"/>
        </w:rPr>
        <w:t>-</w:t>
      </w:r>
      <w:r w:rsidRPr="00E90AF9">
        <w:rPr>
          <w:sz w:val="24"/>
          <w:szCs w:val="24"/>
        </w:rPr>
        <w:t>label use, medication errors, and occupation</w:t>
      </w:r>
      <w:r w:rsidR="000B21DC">
        <w:rPr>
          <w:sz w:val="24"/>
          <w:szCs w:val="24"/>
        </w:rPr>
        <w:t>al</w:t>
      </w:r>
      <w:r w:rsidRPr="00E90AF9">
        <w:rPr>
          <w:sz w:val="24"/>
          <w:szCs w:val="24"/>
        </w:rPr>
        <w:t xml:space="preserve"> exposure </w:t>
      </w:r>
      <w:r w:rsidR="00C63FB3">
        <w:rPr>
          <w:sz w:val="24"/>
          <w:szCs w:val="24"/>
        </w:rPr>
        <w:t>to</w:t>
      </w:r>
      <w:r w:rsidRPr="00E90AF9">
        <w:rPr>
          <w:sz w:val="24"/>
          <w:szCs w:val="24"/>
        </w:rPr>
        <w:t xml:space="preserve"> therapeutic goods.</w:t>
      </w:r>
    </w:p>
    <w:p w14:paraId="0C2F7BC3" w14:textId="6CADAA13" w:rsidR="00693F65" w:rsidRPr="00E90AF9" w:rsidRDefault="00693F65" w:rsidP="00E73BCA">
      <w:pPr>
        <w:pStyle w:val="ListParagraph"/>
        <w:widowControl/>
        <w:numPr>
          <w:ilvl w:val="0"/>
          <w:numId w:val="18"/>
        </w:numPr>
        <w:spacing w:before="120" w:after="120" w:line="360" w:lineRule="auto"/>
        <w:ind w:left="1627" w:hanging="720"/>
        <w:contextualSpacing w:val="0"/>
        <w:jc w:val="both"/>
        <w:rPr>
          <w:sz w:val="24"/>
          <w:szCs w:val="24"/>
        </w:rPr>
      </w:pPr>
      <w:r w:rsidRPr="00E90AF9">
        <w:rPr>
          <w:sz w:val="24"/>
          <w:szCs w:val="24"/>
        </w:rPr>
        <w:t xml:space="preserve">Submit reports of lack of efficacy of therapeutic goods to </w:t>
      </w:r>
      <w:r w:rsidR="00501EAA">
        <w:rPr>
          <w:sz w:val="24"/>
          <w:szCs w:val="24"/>
        </w:rPr>
        <w:t>NPC</w:t>
      </w:r>
      <w:r w:rsidRPr="00E90AF9">
        <w:rPr>
          <w:sz w:val="24"/>
          <w:szCs w:val="24"/>
        </w:rPr>
        <w:t>.</w:t>
      </w:r>
    </w:p>
    <w:p w14:paraId="14AB92DA" w14:textId="50D036CD" w:rsidR="00693F65" w:rsidRPr="00FC192E" w:rsidRDefault="00FC192E" w:rsidP="00FC192E">
      <w:pPr>
        <w:jc w:val="both"/>
        <w:rPr>
          <w:b/>
          <w:bCs/>
          <w:sz w:val="28"/>
          <w:szCs w:val="28"/>
        </w:rPr>
      </w:pPr>
      <w:r>
        <w:rPr>
          <w:b/>
          <w:bCs/>
          <w:sz w:val="28"/>
          <w:szCs w:val="28"/>
        </w:rPr>
        <w:t xml:space="preserve">2.7 </w:t>
      </w:r>
      <w:r w:rsidR="00693F65" w:rsidRPr="00FC192E">
        <w:rPr>
          <w:b/>
          <w:bCs/>
          <w:sz w:val="28"/>
          <w:szCs w:val="28"/>
          <w:u w:val="single"/>
        </w:rPr>
        <w:t>Academia.</w:t>
      </w:r>
    </w:p>
    <w:p w14:paraId="152D72B7" w14:textId="07CEF691" w:rsidR="00693F65" w:rsidRPr="008D38C5" w:rsidRDefault="00693F65" w:rsidP="000B21DC">
      <w:pPr>
        <w:pStyle w:val="ListParagraph"/>
        <w:widowControl/>
        <w:numPr>
          <w:ilvl w:val="0"/>
          <w:numId w:val="19"/>
        </w:numPr>
        <w:spacing w:before="120" w:after="120" w:line="360" w:lineRule="auto"/>
        <w:ind w:left="1627" w:hanging="720"/>
        <w:contextualSpacing w:val="0"/>
        <w:jc w:val="both"/>
        <w:rPr>
          <w:sz w:val="24"/>
          <w:szCs w:val="24"/>
        </w:rPr>
      </w:pPr>
      <w:r w:rsidRPr="008D38C5">
        <w:rPr>
          <w:sz w:val="24"/>
          <w:szCs w:val="24"/>
        </w:rPr>
        <w:t>Inclusion of curriculum on pharmacovigilance in undergraduate and master level</w:t>
      </w:r>
      <w:r w:rsidR="000B21DC">
        <w:rPr>
          <w:sz w:val="24"/>
          <w:szCs w:val="24"/>
        </w:rPr>
        <w:t xml:space="preserve"> of healthcare professionals</w:t>
      </w:r>
      <w:r w:rsidRPr="008D38C5">
        <w:rPr>
          <w:sz w:val="24"/>
          <w:szCs w:val="24"/>
        </w:rPr>
        <w:t>.</w:t>
      </w:r>
    </w:p>
    <w:p w14:paraId="0B968ED4" w14:textId="29D5C1AA" w:rsidR="00693F65" w:rsidRPr="008D38C5" w:rsidRDefault="00693F65" w:rsidP="000B21DC">
      <w:pPr>
        <w:pStyle w:val="ListParagraph"/>
        <w:widowControl/>
        <w:numPr>
          <w:ilvl w:val="0"/>
          <w:numId w:val="19"/>
        </w:numPr>
        <w:spacing w:before="120" w:after="120" w:line="360" w:lineRule="auto"/>
        <w:ind w:left="1627" w:hanging="720"/>
        <w:contextualSpacing w:val="0"/>
        <w:jc w:val="both"/>
        <w:rPr>
          <w:sz w:val="24"/>
          <w:szCs w:val="24"/>
        </w:rPr>
      </w:pPr>
      <w:r w:rsidRPr="008D38C5">
        <w:rPr>
          <w:sz w:val="24"/>
          <w:szCs w:val="24"/>
        </w:rPr>
        <w:t>Training and awareness campaign on pharmacovigilance</w:t>
      </w:r>
      <w:r w:rsidR="000B21DC">
        <w:rPr>
          <w:sz w:val="24"/>
          <w:szCs w:val="24"/>
        </w:rPr>
        <w:t>.</w:t>
      </w:r>
    </w:p>
    <w:p w14:paraId="29F22545" w14:textId="76B0AE21" w:rsidR="00693F65" w:rsidRPr="008D38C5" w:rsidRDefault="00693F65" w:rsidP="000B21DC">
      <w:pPr>
        <w:pStyle w:val="ListParagraph"/>
        <w:widowControl/>
        <w:numPr>
          <w:ilvl w:val="0"/>
          <w:numId w:val="19"/>
        </w:numPr>
        <w:spacing w:before="120" w:after="120" w:line="360" w:lineRule="auto"/>
        <w:ind w:left="1627" w:hanging="720"/>
        <w:contextualSpacing w:val="0"/>
        <w:jc w:val="both"/>
        <w:rPr>
          <w:sz w:val="24"/>
          <w:szCs w:val="24"/>
        </w:rPr>
      </w:pPr>
      <w:r w:rsidRPr="008D38C5">
        <w:rPr>
          <w:sz w:val="24"/>
          <w:szCs w:val="24"/>
        </w:rPr>
        <w:t xml:space="preserve">Arrange </w:t>
      </w:r>
      <w:r w:rsidR="000B21DC" w:rsidRPr="008D38C5">
        <w:rPr>
          <w:sz w:val="24"/>
          <w:szCs w:val="24"/>
        </w:rPr>
        <w:t>symposium</w:t>
      </w:r>
      <w:r w:rsidR="000B21DC">
        <w:rPr>
          <w:sz w:val="24"/>
          <w:szCs w:val="24"/>
        </w:rPr>
        <w:t>s</w:t>
      </w:r>
      <w:r w:rsidR="000B21DC" w:rsidRPr="008D38C5">
        <w:rPr>
          <w:sz w:val="24"/>
          <w:szCs w:val="24"/>
        </w:rPr>
        <w:t xml:space="preserve"> </w:t>
      </w:r>
      <w:r w:rsidRPr="008D38C5">
        <w:rPr>
          <w:sz w:val="24"/>
          <w:szCs w:val="24"/>
        </w:rPr>
        <w:t>and conferences o</w:t>
      </w:r>
      <w:r w:rsidR="000B21DC">
        <w:rPr>
          <w:sz w:val="24"/>
          <w:szCs w:val="24"/>
        </w:rPr>
        <w:t>n</w:t>
      </w:r>
      <w:r w:rsidRPr="008D38C5">
        <w:rPr>
          <w:sz w:val="24"/>
          <w:szCs w:val="24"/>
        </w:rPr>
        <w:t xml:space="preserve"> pharmacovigilance.</w:t>
      </w:r>
    </w:p>
    <w:p w14:paraId="498CA221" w14:textId="25F46576" w:rsidR="00693F65" w:rsidRPr="008D38C5" w:rsidRDefault="00693F65" w:rsidP="000B21DC">
      <w:pPr>
        <w:pStyle w:val="ListParagraph"/>
        <w:widowControl/>
        <w:numPr>
          <w:ilvl w:val="0"/>
          <w:numId w:val="19"/>
        </w:numPr>
        <w:spacing w:before="120" w:after="120" w:line="360" w:lineRule="auto"/>
        <w:ind w:left="1627" w:hanging="720"/>
        <w:contextualSpacing w:val="0"/>
        <w:jc w:val="both"/>
        <w:rPr>
          <w:sz w:val="24"/>
          <w:szCs w:val="24"/>
        </w:rPr>
      </w:pPr>
      <w:r w:rsidRPr="008D38C5">
        <w:rPr>
          <w:sz w:val="24"/>
          <w:szCs w:val="24"/>
        </w:rPr>
        <w:t xml:space="preserve">Coordination with PPC and </w:t>
      </w:r>
      <w:r w:rsidR="00501EAA">
        <w:rPr>
          <w:sz w:val="24"/>
          <w:szCs w:val="24"/>
        </w:rPr>
        <w:t>NPC</w:t>
      </w:r>
      <w:r w:rsidRPr="008D38C5">
        <w:rPr>
          <w:sz w:val="24"/>
          <w:szCs w:val="24"/>
        </w:rPr>
        <w:t>.</w:t>
      </w:r>
    </w:p>
    <w:p w14:paraId="3334B291" w14:textId="77777777" w:rsidR="00693F65" w:rsidRPr="008D38C5" w:rsidRDefault="00693F65" w:rsidP="000B21DC">
      <w:pPr>
        <w:pStyle w:val="ListParagraph"/>
        <w:widowControl/>
        <w:numPr>
          <w:ilvl w:val="0"/>
          <w:numId w:val="19"/>
        </w:numPr>
        <w:spacing w:before="120" w:after="120" w:line="360" w:lineRule="auto"/>
        <w:ind w:left="1627" w:hanging="720"/>
        <w:contextualSpacing w:val="0"/>
        <w:jc w:val="both"/>
        <w:rPr>
          <w:sz w:val="24"/>
          <w:szCs w:val="24"/>
        </w:rPr>
      </w:pPr>
      <w:r w:rsidRPr="008D38C5">
        <w:rPr>
          <w:sz w:val="24"/>
          <w:szCs w:val="24"/>
        </w:rPr>
        <w:t>Academia such as Pharmacy, Medical/Dental, Nursing councils and institutions.</w:t>
      </w:r>
    </w:p>
    <w:p w14:paraId="07B331B5" w14:textId="1897D14B" w:rsidR="00693F65" w:rsidRPr="00FC192E" w:rsidRDefault="00FC192E" w:rsidP="00FC192E">
      <w:pPr>
        <w:jc w:val="both"/>
        <w:rPr>
          <w:b/>
          <w:bCs/>
          <w:sz w:val="28"/>
          <w:szCs w:val="28"/>
        </w:rPr>
      </w:pPr>
      <w:r>
        <w:rPr>
          <w:b/>
          <w:bCs/>
          <w:sz w:val="28"/>
          <w:szCs w:val="28"/>
        </w:rPr>
        <w:t xml:space="preserve">2.8 </w:t>
      </w:r>
      <w:r w:rsidR="00693F65" w:rsidRPr="00FC192E">
        <w:rPr>
          <w:b/>
          <w:bCs/>
          <w:sz w:val="28"/>
          <w:szCs w:val="28"/>
          <w:u w:val="single"/>
        </w:rPr>
        <w:t>Hospitals.</w:t>
      </w:r>
      <w:r w:rsidR="00693F65" w:rsidRPr="00FC192E">
        <w:rPr>
          <w:b/>
          <w:bCs/>
          <w:sz w:val="28"/>
          <w:szCs w:val="28"/>
        </w:rPr>
        <w:t xml:space="preserve"> </w:t>
      </w:r>
    </w:p>
    <w:p w14:paraId="008695BE" w14:textId="5A2C196E"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Establishment of pharmacovigilance centre</w:t>
      </w:r>
      <w:r w:rsidR="000B21DC">
        <w:rPr>
          <w:sz w:val="24"/>
          <w:szCs w:val="24"/>
        </w:rPr>
        <w:t>s</w:t>
      </w:r>
      <w:r w:rsidRPr="00E90AF9">
        <w:rPr>
          <w:sz w:val="24"/>
          <w:szCs w:val="24"/>
        </w:rPr>
        <w:t xml:space="preserve"> at </w:t>
      </w:r>
      <w:r w:rsidR="000B21DC">
        <w:rPr>
          <w:sz w:val="24"/>
          <w:szCs w:val="24"/>
        </w:rPr>
        <w:t xml:space="preserve">the </w:t>
      </w:r>
      <w:r w:rsidRPr="00E90AF9">
        <w:rPr>
          <w:sz w:val="24"/>
          <w:szCs w:val="24"/>
        </w:rPr>
        <w:t>hospital level</w:t>
      </w:r>
      <w:r w:rsidR="000B21DC">
        <w:rPr>
          <w:sz w:val="24"/>
          <w:szCs w:val="24"/>
        </w:rPr>
        <w:t xml:space="preserve"> as per Pharmacovigilance Rules, 2022</w:t>
      </w:r>
    </w:p>
    <w:p w14:paraId="462B5B36" w14:textId="77777777"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Nomination of Focal Person for coordination with PPC.</w:t>
      </w:r>
    </w:p>
    <w:p w14:paraId="08570183" w14:textId="5AC7C5A0"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 xml:space="preserve">Constitution </w:t>
      </w:r>
      <w:r w:rsidR="000B21DC" w:rsidRPr="00E90AF9">
        <w:rPr>
          <w:sz w:val="24"/>
          <w:szCs w:val="24"/>
        </w:rPr>
        <w:t xml:space="preserve">Pharmacovigilance Committees </w:t>
      </w:r>
      <w:r w:rsidRPr="00E90AF9">
        <w:rPr>
          <w:sz w:val="24"/>
          <w:szCs w:val="24"/>
        </w:rPr>
        <w:t xml:space="preserve">at the level of </w:t>
      </w:r>
      <w:r w:rsidR="000B21DC">
        <w:rPr>
          <w:sz w:val="24"/>
          <w:szCs w:val="24"/>
        </w:rPr>
        <w:t xml:space="preserve">the </w:t>
      </w:r>
      <w:r w:rsidRPr="00E90AF9">
        <w:rPr>
          <w:sz w:val="24"/>
          <w:szCs w:val="24"/>
        </w:rPr>
        <w:t>hospital.</w:t>
      </w:r>
    </w:p>
    <w:p w14:paraId="0CE1A3D5" w14:textId="77777777"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lastRenderedPageBreak/>
        <w:t>Notification of POs at hospital level in case of private sector hospital or autonomous public hospital.</w:t>
      </w:r>
    </w:p>
    <w:p w14:paraId="4756E06B" w14:textId="77777777"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Collection of AE and ADRs.</w:t>
      </w:r>
    </w:p>
    <w:p w14:paraId="6AEC51FE" w14:textId="77777777"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Initial causality assessment of AEs.</w:t>
      </w:r>
    </w:p>
    <w:p w14:paraId="07127769" w14:textId="77777777"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Regular submission of pharmacovigilance data to PPC.</w:t>
      </w:r>
    </w:p>
    <w:p w14:paraId="6A7BAD9D" w14:textId="77777777"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Signing of MOUs with PPC.</w:t>
      </w:r>
    </w:p>
    <w:p w14:paraId="25C06243" w14:textId="3CF567BD" w:rsidR="00693F65" w:rsidRPr="00E90AF9" w:rsidRDefault="00693F65" w:rsidP="000B21DC">
      <w:pPr>
        <w:pStyle w:val="ListParagraph"/>
        <w:widowControl/>
        <w:numPr>
          <w:ilvl w:val="0"/>
          <w:numId w:val="20"/>
        </w:numPr>
        <w:spacing w:before="120" w:after="120" w:line="360" w:lineRule="auto"/>
        <w:ind w:left="1627" w:hanging="720"/>
        <w:contextualSpacing w:val="0"/>
        <w:jc w:val="both"/>
        <w:rPr>
          <w:sz w:val="24"/>
          <w:szCs w:val="24"/>
        </w:rPr>
      </w:pPr>
      <w:r w:rsidRPr="00E90AF9">
        <w:rPr>
          <w:sz w:val="24"/>
          <w:szCs w:val="24"/>
        </w:rPr>
        <w:t xml:space="preserve">Implement risk minimization measures of </w:t>
      </w:r>
      <w:r w:rsidR="00501EAA">
        <w:rPr>
          <w:sz w:val="24"/>
          <w:szCs w:val="24"/>
        </w:rPr>
        <w:t>NPC</w:t>
      </w:r>
      <w:r w:rsidRPr="00E90AF9">
        <w:rPr>
          <w:sz w:val="24"/>
          <w:szCs w:val="24"/>
        </w:rPr>
        <w:t xml:space="preserve"> and PPC in </w:t>
      </w:r>
      <w:r w:rsidR="000B21DC">
        <w:rPr>
          <w:sz w:val="24"/>
          <w:szCs w:val="24"/>
        </w:rPr>
        <w:t xml:space="preserve">the </w:t>
      </w:r>
      <w:r w:rsidRPr="00E90AF9">
        <w:rPr>
          <w:sz w:val="24"/>
          <w:szCs w:val="24"/>
        </w:rPr>
        <w:t>hospital.</w:t>
      </w:r>
    </w:p>
    <w:p w14:paraId="60867257" w14:textId="09B03D64" w:rsidR="00693F65" w:rsidRPr="00FC192E" w:rsidRDefault="00FC192E" w:rsidP="00FC192E">
      <w:pPr>
        <w:jc w:val="both"/>
        <w:rPr>
          <w:b/>
          <w:bCs/>
          <w:sz w:val="28"/>
          <w:szCs w:val="28"/>
        </w:rPr>
      </w:pPr>
      <w:r>
        <w:rPr>
          <w:b/>
          <w:bCs/>
          <w:sz w:val="28"/>
          <w:szCs w:val="28"/>
        </w:rPr>
        <w:t xml:space="preserve">2.9 </w:t>
      </w:r>
      <w:r w:rsidR="00693F65" w:rsidRPr="00FC192E">
        <w:rPr>
          <w:b/>
          <w:bCs/>
          <w:sz w:val="28"/>
          <w:szCs w:val="28"/>
          <w:u w:val="single"/>
        </w:rPr>
        <w:t>Therapeutic Goods’ Sale Points (TGSP).</w:t>
      </w:r>
    </w:p>
    <w:p w14:paraId="20DD50D2" w14:textId="760E0AC3" w:rsidR="00693F65" w:rsidRPr="00E90AF9" w:rsidRDefault="00693F65" w:rsidP="000B21DC">
      <w:pPr>
        <w:pStyle w:val="ListParagraph"/>
        <w:widowControl/>
        <w:numPr>
          <w:ilvl w:val="0"/>
          <w:numId w:val="21"/>
        </w:numPr>
        <w:tabs>
          <w:tab w:val="left" w:pos="990"/>
        </w:tabs>
        <w:spacing w:before="120" w:after="120" w:line="360" w:lineRule="auto"/>
        <w:ind w:left="1627" w:hanging="720"/>
        <w:contextualSpacing w:val="0"/>
        <w:jc w:val="both"/>
        <w:rPr>
          <w:bCs/>
          <w:sz w:val="24"/>
          <w:szCs w:val="24"/>
        </w:rPr>
      </w:pPr>
      <w:r w:rsidRPr="00E90AF9">
        <w:rPr>
          <w:bCs/>
          <w:sz w:val="24"/>
          <w:szCs w:val="24"/>
        </w:rPr>
        <w:t>TGSP includes distributors, wholesaler</w:t>
      </w:r>
      <w:r w:rsidR="000B21DC">
        <w:rPr>
          <w:bCs/>
          <w:sz w:val="24"/>
          <w:szCs w:val="24"/>
        </w:rPr>
        <w:t>s</w:t>
      </w:r>
      <w:r w:rsidRPr="00E90AF9">
        <w:rPr>
          <w:bCs/>
          <w:sz w:val="24"/>
          <w:szCs w:val="24"/>
        </w:rPr>
        <w:t xml:space="preserve"> and retailer</w:t>
      </w:r>
      <w:r w:rsidR="000B21DC">
        <w:rPr>
          <w:bCs/>
          <w:sz w:val="24"/>
          <w:szCs w:val="24"/>
        </w:rPr>
        <w:t>s</w:t>
      </w:r>
      <w:r w:rsidRPr="00E90AF9">
        <w:rPr>
          <w:bCs/>
          <w:sz w:val="24"/>
          <w:szCs w:val="24"/>
        </w:rPr>
        <w:t xml:space="preserve"> of therapeutic goods.</w:t>
      </w:r>
    </w:p>
    <w:p w14:paraId="65723A44" w14:textId="77285FE6" w:rsidR="00693F65" w:rsidRPr="00E90AF9" w:rsidRDefault="00693F65" w:rsidP="000B21DC">
      <w:pPr>
        <w:pStyle w:val="ListParagraph"/>
        <w:widowControl/>
        <w:numPr>
          <w:ilvl w:val="0"/>
          <w:numId w:val="21"/>
        </w:numPr>
        <w:tabs>
          <w:tab w:val="left" w:pos="990"/>
        </w:tabs>
        <w:spacing w:before="120" w:after="120" w:line="360" w:lineRule="auto"/>
        <w:ind w:left="1627" w:hanging="720"/>
        <w:contextualSpacing w:val="0"/>
        <w:jc w:val="both"/>
        <w:rPr>
          <w:sz w:val="24"/>
          <w:szCs w:val="24"/>
        </w:rPr>
      </w:pPr>
      <w:r w:rsidRPr="00E90AF9">
        <w:rPr>
          <w:sz w:val="24"/>
          <w:szCs w:val="24"/>
        </w:rPr>
        <w:t xml:space="preserve">Report the suspected ADR or AE to PPC. </w:t>
      </w:r>
    </w:p>
    <w:p w14:paraId="6A322276" w14:textId="77777777" w:rsidR="00693F65" w:rsidRPr="00E90AF9" w:rsidRDefault="00693F65" w:rsidP="000B21DC">
      <w:pPr>
        <w:pStyle w:val="ListParagraph"/>
        <w:widowControl/>
        <w:numPr>
          <w:ilvl w:val="0"/>
          <w:numId w:val="21"/>
        </w:numPr>
        <w:tabs>
          <w:tab w:val="left" w:pos="990"/>
        </w:tabs>
        <w:spacing w:before="120" w:after="120" w:line="360" w:lineRule="auto"/>
        <w:ind w:left="1627" w:hanging="720"/>
        <w:contextualSpacing w:val="0"/>
        <w:jc w:val="both"/>
        <w:rPr>
          <w:sz w:val="24"/>
          <w:szCs w:val="24"/>
        </w:rPr>
      </w:pPr>
      <w:r w:rsidRPr="00E90AF9">
        <w:rPr>
          <w:sz w:val="24"/>
          <w:szCs w:val="24"/>
        </w:rPr>
        <w:t>Counselling of patients to immediately consult HCP if they experience AE.</w:t>
      </w:r>
    </w:p>
    <w:p w14:paraId="2060E7F4" w14:textId="2985CB3B" w:rsidR="00693F65" w:rsidRPr="007B3CD3" w:rsidRDefault="007B3CD3" w:rsidP="007B3CD3">
      <w:pPr>
        <w:jc w:val="both"/>
        <w:rPr>
          <w:b/>
          <w:bCs/>
          <w:sz w:val="28"/>
          <w:szCs w:val="28"/>
        </w:rPr>
      </w:pPr>
      <w:r>
        <w:rPr>
          <w:b/>
          <w:bCs/>
          <w:sz w:val="28"/>
          <w:szCs w:val="28"/>
        </w:rPr>
        <w:t xml:space="preserve">2.10 </w:t>
      </w:r>
      <w:r w:rsidR="00693F65" w:rsidRPr="007B3CD3">
        <w:rPr>
          <w:b/>
          <w:bCs/>
          <w:sz w:val="28"/>
          <w:szCs w:val="28"/>
          <w:u w:val="single"/>
        </w:rPr>
        <w:t>Healthcare Professionals.</w:t>
      </w:r>
    </w:p>
    <w:p w14:paraId="40AF4260" w14:textId="1FAD3C94" w:rsidR="00693F65" w:rsidRPr="00E90AF9" w:rsidRDefault="00693F65" w:rsidP="00F95688">
      <w:pPr>
        <w:pStyle w:val="ListParagraph"/>
        <w:widowControl/>
        <w:numPr>
          <w:ilvl w:val="0"/>
          <w:numId w:val="22"/>
        </w:numPr>
        <w:spacing w:before="120" w:after="120" w:line="360" w:lineRule="auto"/>
        <w:ind w:left="1627" w:hanging="720"/>
        <w:contextualSpacing w:val="0"/>
        <w:jc w:val="both"/>
        <w:rPr>
          <w:sz w:val="24"/>
          <w:szCs w:val="24"/>
        </w:rPr>
      </w:pPr>
      <w:r w:rsidRPr="00E90AF9">
        <w:rPr>
          <w:sz w:val="24"/>
          <w:szCs w:val="24"/>
        </w:rPr>
        <w:t xml:space="preserve">Detect and manage adverse events associated with </w:t>
      </w:r>
      <w:r w:rsidR="00F95688">
        <w:rPr>
          <w:sz w:val="24"/>
          <w:szCs w:val="24"/>
        </w:rPr>
        <w:t xml:space="preserve">the </w:t>
      </w:r>
      <w:r w:rsidRPr="00E90AF9">
        <w:rPr>
          <w:sz w:val="24"/>
          <w:szCs w:val="24"/>
        </w:rPr>
        <w:t>use of therapeutic goods.</w:t>
      </w:r>
    </w:p>
    <w:p w14:paraId="1E922256" w14:textId="3168BC4B" w:rsidR="00693F65" w:rsidRPr="00E90AF9" w:rsidRDefault="00693F65" w:rsidP="00F95688">
      <w:pPr>
        <w:pStyle w:val="ListParagraph"/>
        <w:widowControl/>
        <w:numPr>
          <w:ilvl w:val="0"/>
          <w:numId w:val="22"/>
        </w:numPr>
        <w:spacing w:before="120" w:after="120" w:line="360" w:lineRule="auto"/>
        <w:ind w:left="1627" w:hanging="720"/>
        <w:contextualSpacing w:val="0"/>
        <w:jc w:val="both"/>
        <w:rPr>
          <w:sz w:val="24"/>
          <w:szCs w:val="24"/>
        </w:rPr>
      </w:pPr>
      <w:r w:rsidRPr="00E90AF9">
        <w:rPr>
          <w:sz w:val="24"/>
          <w:szCs w:val="24"/>
        </w:rPr>
        <w:t xml:space="preserve">Document and immediately report all serious and non-serious suspected ADRs that </w:t>
      </w:r>
      <w:r w:rsidR="00F95688">
        <w:rPr>
          <w:sz w:val="24"/>
          <w:szCs w:val="24"/>
        </w:rPr>
        <w:t xml:space="preserve">are </w:t>
      </w:r>
      <w:r w:rsidRPr="00E90AF9">
        <w:rPr>
          <w:sz w:val="24"/>
          <w:szCs w:val="24"/>
        </w:rPr>
        <w:t xml:space="preserve">known or unknown (un-expected) or which are due to interaction, abuse, misuse, medication errors, occupational exposure, and overdose. HCP shall also report </w:t>
      </w:r>
      <w:r w:rsidR="00F95688">
        <w:rPr>
          <w:sz w:val="24"/>
          <w:szCs w:val="24"/>
        </w:rPr>
        <w:t xml:space="preserve">a </w:t>
      </w:r>
      <w:r w:rsidRPr="00E90AF9">
        <w:rPr>
          <w:sz w:val="24"/>
          <w:szCs w:val="24"/>
        </w:rPr>
        <w:t>lack of therapeutic efficacy.</w:t>
      </w:r>
    </w:p>
    <w:p w14:paraId="673BFF54" w14:textId="77777777" w:rsidR="00693F65" w:rsidRPr="00E90AF9" w:rsidRDefault="00693F65" w:rsidP="00F95688">
      <w:pPr>
        <w:pStyle w:val="ListParagraph"/>
        <w:widowControl/>
        <w:numPr>
          <w:ilvl w:val="0"/>
          <w:numId w:val="22"/>
        </w:numPr>
        <w:spacing w:before="120" w:after="120" w:line="360" w:lineRule="auto"/>
        <w:ind w:left="1627" w:hanging="720"/>
        <w:contextualSpacing w:val="0"/>
        <w:jc w:val="both"/>
        <w:rPr>
          <w:sz w:val="24"/>
          <w:szCs w:val="24"/>
        </w:rPr>
      </w:pPr>
      <w:r w:rsidRPr="00E90AF9">
        <w:rPr>
          <w:sz w:val="24"/>
          <w:szCs w:val="24"/>
        </w:rPr>
        <w:t>Perform the initial causality assessment of AEs.</w:t>
      </w:r>
    </w:p>
    <w:p w14:paraId="03BF1B4D" w14:textId="55CAA7A4" w:rsidR="00693F65" w:rsidRPr="00E90AF9" w:rsidRDefault="00693F65" w:rsidP="00F95688">
      <w:pPr>
        <w:pStyle w:val="ListParagraph"/>
        <w:widowControl/>
        <w:numPr>
          <w:ilvl w:val="0"/>
          <w:numId w:val="22"/>
        </w:numPr>
        <w:spacing w:before="120" w:after="120" w:line="360" w:lineRule="auto"/>
        <w:ind w:left="1627" w:hanging="720"/>
        <w:contextualSpacing w:val="0"/>
        <w:jc w:val="both"/>
        <w:rPr>
          <w:sz w:val="24"/>
          <w:szCs w:val="24"/>
        </w:rPr>
      </w:pPr>
      <w:r w:rsidRPr="00E90AF9">
        <w:rPr>
          <w:sz w:val="24"/>
          <w:szCs w:val="24"/>
        </w:rPr>
        <w:t>Report the suspected ADR or AE to PPC, registration holders or NPC. But, at a time a suspected ADR or AE shall be reported through one out of these three channels to avoid duplication of reports.</w:t>
      </w:r>
    </w:p>
    <w:p w14:paraId="55870E05" w14:textId="77777777" w:rsidR="00693F65" w:rsidRPr="00E90AF9" w:rsidRDefault="00693F65" w:rsidP="00F95688">
      <w:pPr>
        <w:pStyle w:val="ListParagraph"/>
        <w:widowControl/>
        <w:numPr>
          <w:ilvl w:val="0"/>
          <w:numId w:val="22"/>
        </w:numPr>
        <w:spacing w:before="120" w:after="120" w:line="360" w:lineRule="auto"/>
        <w:ind w:left="1627" w:hanging="720"/>
        <w:contextualSpacing w:val="0"/>
        <w:jc w:val="both"/>
        <w:rPr>
          <w:sz w:val="24"/>
          <w:szCs w:val="24"/>
        </w:rPr>
      </w:pPr>
      <w:r w:rsidRPr="00E90AF9">
        <w:rPr>
          <w:sz w:val="24"/>
          <w:szCs w:val="24"/>
        </w:rPr>
        <w:t>Counselling of patients to immediately consult HCP if they experience AE.</w:t>
      </w:r>
    </w:p>
    <w:p w14:paraId="3931C6BC" w14:textId="4E0A6F1F" w:rsidR="00693F65" w:rsidRPr="007B3CD3" w:rsidRDefault="007B3CD3" w:rsidP="007B3CD3">
      <w:pPr>
        <w:jc w:val="both"/>
        <w:rPr>
          <w:b/>
          <w:bCs/>
          <w:sz w:val="28"/>
          <w:szCs w:val="28"/>
        </w:rPr>
      </w:pPr>
      <w:r>
        <w:rPr>
          <w:b/>
          <w:bCs/>
          <w:sz w:val="28"/>
          <w:szCs w:val="28"/>
        </w:rPr>
        <w:t xml:space="preserve">2.11 </w:t>
      </w:r>
      <w:r w:rsidR="00693F65" w:rsidRPr="007B3CD3">
        <w:rPr>
          <w:b/>
          <w:bCs/>
          <w:sz w:val="28"/>
          <w:szCs w:val="28"/>
          <w:u w:val="single"/>
        </w:rPr>
        <w:t>Patients</w:t>
      </w:r>
      <w:r w:rsidR="00BF56FC">
        <w:rPr>
          <w:b/>
          <w:bCs/>
          <w:sz w:val="28"/>
          <w:szCs w:val="28"/>
          <w:u w:val="single"/>
        </w:rPr>
        <w:t xml:space="preserve"> </w:t>
      </w:r>
      <w:r w:rsidR="00693F65" w:rsidRPr="007B3CD3">
        <w:rPr>
          <w:b/>
          <w:bCs/>
          <w:sz w:val="28"/>
          <w:szCs w:val="28"/>
          <w:u w:val="single"/>
        </w:rPr>
        <w:t>/ Consumers.</w:t>
      </w:r>
    </w:p>
    <w:p w14:paraId="45A1E9DF" w14:textId="60F98BEC" w:rsidR="00693F65" w:rsidRPr="008D38C5" w:rsidRDefault="00693F65" w:rsidP="006B4207">
      <w:pPr>
        <w:pStyle w:val="ListParagraph"/>
        <w:widowControl/>
        <w:numPr>
          <w:ilvl w:val="0"/>
          <w:numId w:val="23"/>
        </w:numPr>
        <w:spacing w:before="120" w:after="120" w:line="360" w:lineRule="auto"/>
        <w:ind w:left="1713" w:hanging="806"/>
        <w:contextualSpacing w:val="0"/>
        <w:jc w:val="both"/>
        <w:rPr>
          <w:color w:val="000000" w:themeColor="text1"/>
          <w:sz w:val="24"/>
          <w:szCs w:val="24"/>
        </w:rPr>
      </w:pPr>
      <w:r w:rsidRPr="008D38C5">
        <w:rPr>
          <w:color w:val="000000" w:themeColor="text1"/>
          <w:sz w:val="24"/>
          <w:szCs w:val="24"/>
        </w:rPr>
        <w:t xml:space="preserve">Reporting of </w:t>
      </w:r>
      <w:r w:rsidR="006B4207">
        <w:rPr>
          <w:color w:val="000000" w:themeColor="text1"/>
          <w:sz w:val="24"/>
          <w:szCs w:val="24"/>
        </w:rPr>
        <w:t xml:space="preserve">the </w:t>
      </w:r>
      <w:r w:rsidRPr="008D38C5">
        <w:rPr>
          <w:color w:val="000000" w:themeColor="text1"/>
          <w:sz w:val="24"/>
          <w:szCs w:val="24"/>
        </w:rPr>
        <w:t>adverse event</w:t>
      </w:r>
      <w:r w:rsidR="006B4207">
        <w:rPr>
          <w:color w:val="000000" w:themeColor="text1"/>
          <w:sz w:val="24"/>
          <w:szCs w:val="24"/>
        </w:rPr>
        <w:t>s</w:t>
      </w:r>
      <w:r w:rsidRPr="008D38C5">
        <w:rPr>
          <w:color w:val="000000" w:themeColor="text1"/>
          <w:sz w:val="24"/>
          <w:szCs w:val="24"/>
        </w:rPr>
        <w:t xml:space="preserve"> immediately to their healthcare professionals, </w:t>
      </w:r>
      <w:r w:rsidR="00501EAA">
        <w:rPr>
          <w:color w:val="000000" w:themeColor="text1"/>
          <w:sz w:val="24"/>
          <w:szCs w:val="24"/>
        </w:rPr>
        <w:t>National Pharmacovigilance Centre</w:t>
      </w:r>
      <w:r w:rsidRPr="008D38C5">
        <w:rPr>
          <w:color w:val="000000" w:themeColor="text1"/>
          <w:sz w:val="24"/>
          <w:szCs w:val="24"/>
        </w:rPr>
        <w:t xml:space="preserve">, Provincial Pharmacovigilance Centre or registration holder. But, at a time an AE shall be reported thorough one out of these four channels to avoid duplication of reports. Support from national </w:t>
      </w:r>
      <w:r w:rsidRPr="008D38C5">
        <w:rPr>
          <w:color w:val="000000" w:themeColor="text1"/>
          <w:sz w:val="24"/>
          <w:szCs w:val="24"/>
        </w:rPr>
        <w:lastRenderedPageBreak/>
        <w:t>associations of consumers and patients may add to the general acceptance of pharmacovigilance.</w:t>
      </w:r>
    </w:p>
    <w:p w14:paraId="6F95E61A" w14:textId="65B3F60D" w:rsidR="00693F65" w:rsidRPr="007B3CD3" w:rsidRDefault="007B3CD3" w:rsidP="007B3CD3">
      <w:pPr>
        <w:jc w:val="both"/>
        <w:rPr>
          <w:b/>
          <w:bCs/>
          <w:sz w:val="28"/>
          <w:szCs w:val="28"/>
        </w:rPr>
      </w:pPr>
      <w:r>
        <w:rPr>
          <w:b/>
          <w:bCs/>
          <w:sz w:val="28"/>
          <w:szCs w:val="28"/>
        </w:rPr>
        <w:t xml:space="preserve">2.12 </w:t>
      </w:r>
      <w:r w:rsidR="00693F65" w:rsidRPr="007B3CD3">
        <w:rPr>
          <w:b/>
          <w:bCs/>
          <w:sz w:val="28"/>
          <w:szCs w:val="28"/>
          <w:u w:val="single"/>
        </w:rPr>
        <w:t xml:space="preserve">Media </w:t>
      </w:r>
    </w:p>
    <w:p w14:paraId="6CDCB6A9" w14:textId="7B7F1CA5" w:rsidR="00693F65" w:rsidRDefault="00693F65" w:rsidP="00F310ED">
      <w:pPr>
        <w:spacing w:line="360" w:lineRule="auto"/>
        <w:ind w:left="1710"/>
        <w:jc w:val="both"/>
        <w:rPr>
          <w:color w:val="000000" w:themeColor="text1"/>
          <w:sz w:val="24"/>
          <w:szCs w:val="24"/>
        </w:rPr>
      </w:pPr>
      <w:r w:rsidRPr="00E90AF9">
        <w:rPr>
          <w:color w:val="000000" w:themeColor="text1"/>
          <w:sz w:val="24"/>
          <w:szCs w:val="24"/>
        </w:rPr>
        <w:t xml:space="preserve">Good relations with leading journalists may be helpful, e.g. for </w:t>
      </w:r>
      <w:r w:rsidR="004F15C4">
        <w:rPr>
          <w:color w:val="000000" w:themeColor="text1"/>
          <w:sz w:val="24"/>
          <w:szCs w:val="24"/>
        </w:rPr>
        <w:t xml:space="preserve">the </w:t>
      </w:r>
      <w:r w:rsidRPr="00E90AF9">
        <w:rPr>
          <w:color w:val="000000" w:themeColor="text1"/>
          <w:sz w:val="24"/>
          <w:szCs w:val="24"/>
        </w:rPr>
        <w:t>general public</w:t>
      </w:r>
      <w:r w:rsidRPr="00E90AF9">
        <w:rPr>
          <w:color w:val="000000" w:themeColor="text1"/>
          <w:sz w:val="24"/>
          <w:szCs w:val="24"/>
        </w:rPr>
        <w:br/>
        <w:t xml:space="preserve">relations and as part of the </w:t>
      </w:r>
      <w:r w:rsidRPr="00E90AF9">
        <w:rPr>
          <w:iCs/>
          <w:color w:val="000000" w:themeColor="text1"/>
          <w:sz w:val="24"/>
          <w:szCs w:val="24"/>
        </w:rPr>
        <w:t xml:space="preserve">risk management </w:t>
      </w:r>
      <w:r w:rsidRPr="00E90AF9">
        <w:rPr>
          <w:color w:val="000000" w:themeColor="text1"/>
          <w:sz w:val="24"/>
          <w:szCs w:val="24"/>
        </w:rPr>
        <w:t>strategy whenever an acute drug problem arises. Special attention may be needed to explain to journalists the limitations of pharmacovigilance data. In addition, some AE</w:t>
      </w:r>
      <w:r w:rsidR="004F15C4">
        <w:rPr>
          <w:color w:val="000000" w:themeColor="text1"/>
          <w:sz w:val="24"/>
          <w:szCs w:val="24"/>
        </w:rPr>
        <w:t>s</w:t>
      </w:r>
      <w:r w:rsidRPr="00E90AF9">
        <w:rPr>
          <w:color w:val="000000" w:themeColor="text1"/>
          <w:sz w:val="24"/>
          <w:szCs w:val="24"/>
        </w:rPr>
        <w:t xml:space="preserve"> are also reported in </w:t>
      </w:r>
      <w:r w:rsidR="004F15C4">
        <w:rPr>
          <w:color w:val="000000" w:themeColor="text1"/>
          <w:sz w:val="24"/>
          <w:szCs w:val="24"/>
        </w:rPr>
        <w:t xml:space="preserve">the </w:t>
      </w:r>
      <w:r w:rsidRPr="00E90AF9">
        <w:rPr>
          <w:color w:val="000000" w:themeColor="text1"/>
          <w:sz w:val="24"/>
          <w:szCs w:val="24"/>
        </w:rPr>
        <w:t xml:space="preserve">media, which can be further followed up by </w:t>
      </w:r>
      <w:r w:rsidR="004F15C4" w:rsidRPr="00E90AF9">
        <w:rPr>
          <w:color w:val="000000" w:themeColor="text1"/>
          <w:sz w:val="24"/>
          <w:szCs w:val="24"/>
        </w:rPr>
        <w:t xml:space="preserve">National </w:t>
      </w:r>
      <w:r>
        <w:rPr>
          <w:color w:val="000000" w:themeColor="text1"/>
          <w:sz w:val="24"/>
          <w:szCs w:val="24"/>
        </w:rPr>
        <w:t xml:space="preserve">and provincial </w:t>
      </w:r>
      <w:r w:rsidRPr="00E90AF9">
        <w:rPr>
          <w:color w:val="000000" w:themeColor="text1"/>
          <w:sz w:val="24"/>
          <w:szCs w:val="24"/>
        </w:rPr>
        <w:t>centre</w:t>
      </w:r>
      <w:r>
        <w:rPr>
          <w:color w:val="000000" w:themeColor="text1"/>
          <w:sz w:val="24"/>
          <w:szCs w:val="24"/>
        </w:rPr>
        <w:t>s</w:t>
      </w:r>
      <w:r w:rsidRPr="00E90AF9">
        <w:rPr>
          <w:color w:val="000000" w:themeColor="text1"/>
          <w:sz w:val="24"/>
          <w:szCs w:val="24"/>
        </w:rPr>
        <w:t>.</w:t>
      </w:r>
      <w:r w:rsidRPr="00A91043">
        <w:rPr>
          <w:color w:val="000000" w:themeColor="text1"/>
          <w:sz w:val="24"/>
          <w:szCs w:val="24"/>
        </w:rPr>
        <w:t xml:space="preserve"> </w:t>
      </w:r>
      <w:r w:rsidR="004F15C4">
        <w:rPr>
          <w:color w:val="000000" w:themeColor="text1"/>
          <w:sz w:val="24"/>
          <w:szCs w:val="24"/>
        </w:rPr>
        <w:t xml:space="preserve">The </w:t>
      </w:r>
      <w:r w:rsidRPr="006B3CF2">
        <w:rPr>
          <w:color w:val="000000" w:themeColor="text1"/>
          <w:sz w:val="24"/>
          <w:szCs w:val="24"/>
        </w:rPr>
        <w:t xml:space="preserve">Head of </w:t>
      </w:r>
      <w:r w:rsidR="00501EAA">
        <w:rPr>
          <w:color w:val="000000" w:themeColor="text1"/>
          <w:sz w:val="24"/>
          <w:szCs w:val="24"/>
        </w:rPr>
        <w:t>NPC</w:t>
      </w:r>
      <w:r w:rsidRPr="006B3CF2">
        <w:rPr>
          <w:color w:val="000000" w:themeColor="text1"/>
          <w:sz w:val="24"/>
          <w:szCs w:val="24"/>
        </w:rPr>
        <w:t>-DRAP or public relation</w:t>
      </w:r>
      <w:r w:rsidR="004F15C4">
        <w:rPr>
          <w:color w:val="000000" w:themeColor="text1"/>
          <w:sz w:val="24"/>
          <w:szCs w:val="24"/>
        </w:rPr>
        <w:t>s</w:t>
      </w:r>
      <w:r w:rsidRPr="006B3CF2">
        <w:rPr>
          <w:color w:val="000000" w:themeColor="text1"/>
          <w:sz w:val="24"/>
          <w:szCs w:val="24"/>
        </w:rPr>
        <w:t xml:space="preserve"> officer nominated by DR</w:t>
      </w:r>
      <w:r>
        <w:rPr>
          <w:color w:val="000000" w:themeColor="text1"/>
          <w:sz w:val="24"/>
          <w:szCs w:val="24"/>
        </w:rPr>
        <w:t>AP is the only authori</w:t>
      </w:r>
      <w:r w:rsidR="004F15C4">
        <w:rPr>
          <w:color w:val="000000" w:themeColor="text1"/>
          <w:sz w:val="24"/>
          <w:szCs w:val="24"/>
        </w:rPr>
        <w:t>sed</w:t>
      </w:r>
      <w:r w:rsidRPr="006B3CF2">
        <w:rPr>
          <w:color w:val="000000" w:themeColor="text1"/>
          <w:sz w:val="24"/>
          <w:szCs w:val="24"/>
        </w:rPr>
        <w:t xml:space="preserve"> </w:t>
      </w:r>
      <w:r>
        <w:rPr>
          <w:color w:val="000000" w:themeColor="text1"/>
          <w:sz w:val="24"/>
          <w:szCs w:val="24"/>
        </w:rPr>
        <w:t>pe</w:t>
      </w:r>
      <w:r w:rsidR="004F15C4">
        <w:rPr>
          <w:color w:val="000000" w:themeColor="text1"/>
          <w:sz w:val="24"/>
          <w:szCs w:val="24"/>
        </w:rPr>
        <w:t>rson</w:t>
      </w:r>
      <w:r>
        <w:rPr>
          <w:color w:val="000000" w:themeColor="text1"/>
          <w:sz w:val="24"/>
          <w:szCs w:val="24"/>
        </w:rPr>
        <w:t xml:space="preserve"> </w:t>
      </w:r>
      <w:r w:rsidRPr="006B3CF2">
        <w:rPr>
          <w:color w:val="000000" w:themeColor="text1"/>
          <w:sz w:val="24"/>
          <w:szCs w:val="24"/>
        </w:rPr>
        <w:t xml:space="preserve">to engage with </w:t>
      </w:r>
      <w:r w:rsidR="004F15C4">
        <w:rPr>
          <w:color w:val="000000" w:themeColor="text1"/>
          <w:sz w:val="24"/>
          <w:szCs w:val="24"/>
        </w:rPr>
        <w:t xml:space="preserve">the </w:t>
      </w:r>
      <w:r w:rsidRPr="006B3CF2">
        <w:rPr>
          <w:color w:val="000000" w:themeColor="text1"/>
          <w:sz w:val="24"/>
          <w:szCs w:val="24"/>
        </w:rPr>
        <w:t>media</w:t>
      </w:r>
      <w:r>
        <w:rPr>
          <w:color w:val="000000" w:themeColor="text1"/>
          <w:sz w:val="24"/>
          <w:szCs w:val="24"/>
        </w:rPr>
        <w:t>. Press releases in print media and news on electronic media are some of example</w:t>
      </w:r>
      <w:r w:rsidR="004F15C4">
        <w:rPr>
          <w:color w:val="000000" w:themeColor="text1"/>
          <w:sz w:val="24"/>
          <w:szCs w:val="24"/>
        </w:rPr>
        <w:t>s</w:t>
      </w:r>
      <w:r>
        <w:rPr>
          <w:color w:val="000000" w:themeColor="text1"/>
          <w:sz w:val="24"/>
          <w:szCs w:val="24"/>
        </w:rPr>
        <w:t xml:space="preserve"> of media coverage. </w:t>
      </w:r>
      <w:r w:rsidR="004F15C4">
        <w:rPr>
          <w:color w:val="000000" w:themeColor="text1"/>
          <w:sz w:val="24"/>
          <w:szCs w:val="24"/>
        </w:rPr>
        <w:t>The m</w:t>
      </w:r>
      <w:r>
        <w:rPr>
          <w:color w:val="000000" w:themeColor="text1"/>
          <w:sz w:val="24"/>
          <w:szCs w:val="24"/>
        </w:rPr>
        <w:t>edia should always consult DRAP for accura</w:t>
      </w:r>
      <w:r w:rsidR="004F15C4">
        <w:rPr>
          <w:color w:val="000000" w:themeColor="text1"/>
          <w:sz w:val="24"/>
          <w:szCs w:val="24"/>
        </w:rPr>
        <w:t>cy</w:t>
      </w:r>
      <w:r>
        <w:rPr>
          <w:color w:val="000000" w:themeColor="text1"/>
          <w:sz w:val="24"/>
          <w:szCs w:val="24"/>
        </w:rPr>
        <w:t xml:space="preserve"> and verifiable risk of therapeutic goods.</w:t>
      </w:r>
    </w:p>
    <w:p w14:paraId="749372B7" w14:textId="57A4DF39" w:rsidR="00693F65" w:rsidRDefault="00693F65" w:rsidP="00693F65"/>
    <w:p w14:paraId="4509BD89" w14:textId="21B8FF72" w:rsidR="00B42681" w:rsidRDefault="004F15C4" w:rsidP="004F15C4">
      <w:pPr>
        <w:widowControl/>
        <w:spacing w:before="120" w:after="120" w:line="360" w:lineRule="auto"/>
        <w:jc w:val="both"/>
      </w:pPr>
      <w:r>
        <w:br w:type="page"/>
      </w:r>
    </w:p>
    <w:p w14:paraId="4B186D27" w14:textId="77777777" w:rsidR="00693F65" w:rsidRDefault="00693F65" w:rsidP="00693F65"/>
    <w:tbl>
      <w:tblPr>
        <w:tblStyle w:val="TableGrid"/>
        <w:tblW w:w="0" w:type="auto"/>
        <w:tblLook w:val="04A0" w:firstRow="1" w:lastRow="0" w:firstColumn="1" w:lastColumn="0" w:noHBand="0" w:noVBand="1"/>
      </w:tblPr>
      <w:tblGrid>
        <w:gridCol w:w="9350"/>
      </w:tblGrid>
      <w:tr w:rsidR="00AC49B6" w14:paraId="7F8B2D51" w14:textId="77777777" w:rsidTr="00AC49B6">
        <w:tc>
          <w:tcPr>
            <w:tcW w:w="9350" w:type="dxa"/>
            <w:shd w:val="clear" w:color="auto" w:fill="00B0F0"/>
          </w:tcPr>
          <w:p w14:paraId="5675C81F" w14:textId="23CFC167" w:rsidR="00AC49B6" w:rsidRPr="00AC49B6" w:rsidRDefault="00AC49B6" w:rsidP="00AC49B6">
            <w:pPr>
              <w:jc w:val="center"/>
              <w:rPr>
                <w:b/>
                <w:bCs/>
                <w:sz w:val="28"/>
                <w:szCs w:val="28"/>
              </w:rPr>
            </w:pPr>
            <w:r w:rsidRPr="00AC49B6">
              <w:rPr>
                <w:b/>
                <w:bCs/>
                <w:sz w:val="28"/>
                <w:szCs w:val="28"/>
              </w:rPr>
              <w:t>Chapter 3</w:t>
            </w:r>
          </w:p>
        </w:tc>
      </w:tr>
    </w:tbl>
    <w:p w14:paraId="7402282B" w14:textId="673E884F" w:rsidR="00AC49B6" w:rsidRPr="006635C4" w:rsidRDefault="00AC49B6" w:rsidP="00073436">
      <w:pPr>
        <w:pStyle w:val="ListParagraph"/>
        <w:numPr>
          <w:ilvl w:val="0"/>
          <w:numId w:val="72"/>
        </w:numPr>
        <w:spacing w:before="120" w:after="120" w:line="360" w:lineRule="auto"/>
        <w:ind w:left="270" w:hanging="270"/>
        <w:contextualSpacing w:val="0"/>
        <w:rPr>
          <w:bCs/>
        </w:rPr>
      </w:pPr>
      <w:bookmarkStart w:id="11" w:name="_Toc110329928"/>
      <w:r w:rsidRPr="006635C4">
        <w:rPr>
          <w:rStyle w:val="Level1DRAPChar"/>
          <w:bCs/>
        </w:rPr>
        <w:t>BASIC CONCEPTS OF PHARMACOVIGILANCE</w:t>
      </w:r>
      <w:bookmarkEnd w:id="11"/>
    </w:p>
    <w:p w14:paraId="6A12CBBF" w14:textId="24277BB9" w:rsidR="00B42681" w:rsidRPr="009A3789" w:rsidRDefault="009A3789" w:rsidP="00073436">
      <w:pPr>
        <w:spacing w:before="120" w:after="120" w:line="360" w:lineRule="auto"/>
        <w:rPr>
          <w:b/>
          <w:bCs/>
          <w:sz w:val="28"/>
          <w:szCs w:val="28"/>
          <w:u w:val="single"/>
        </w:rPr>
      </w:pPr>
      <w:r w:rsidRPr="009A3789">
        <w:rPr>
          <w:b/>
          <w:bCs/>
          <w:sz w:val="28"/>
          <w:szCs w:val="28"/>
        </w:rPr>
        <w:t>3.1</w:t>
      </w:r>
      <w:r w:rsidRPr="009A3789">
        <w:rPr>
          <w:sz w:val="28"/>
          <w:szCs w:val="28"/>
        </w:rPr>
        <w:t xml:space="preserve"> </w:t>
      </w:r>
      <w:r w:rsidR="00B42681" w:rsidRPr="009A3789">
        <w:rPr>
          <w:b/>
          <w:bCs/>
          <w:sz w:val="28"/>
          <w:szCs w:val="28"/>
          <w:u w:val="single"/>
        </w:rPr>
        <w:t>Difference between ADR and AE</w:t>
      </w:r>
    </w:p>
    <w:p w14:paraId="6E1F433D" w14:textId="77777777" w:rsidR="00B42681" w:rsidRPr="00CA6572" w:rsidRDefault="00B42681" w:rsidP="00FB7076">
      <w:pPr>
        <w:spacing w:before="120" w:after="120" w:line="360" w:lineRule="auto"/>
        <w:ind w:left="540"/>
        <w:jc w:val="both"/>
        <w:rPr>
          <w:color w:val="000000"/>
          <w:sz w:val="24"/>
          <w:szCs w:val="24"/>
        </w:rPr>
      </w:pPr>
      <w:r w:rsidRPr="00CA6572">
        <w:rPr>
          <w:color w:val="000000"/>
          <w:sz w:val="24"/>
          <w:szCs w:val="24"/>
        </w:rPr>
        <w:t>The difference between an ADR and an AE is crucial and yet these terms are widely confused, particularly within the pharmaceutical industry. In practice, determining whether or not a drug is responsible for a particular AE in an individual patient is often difficult and a judgment has to be made. When the judgment of a clinician caring for the patient is that the drug is a possible cause; this should be called a suspected ADR. Reports of such suspicions form the basis of spontaneous ADR reporting schemes. The term ‘AE’ properly should imply that a more systematic data collection process has been used so that events will be included regardless of whether or not anyone believes they might be caused by a drug.</w:t>
      </w:r>
    </w:p>
    <w:p w14:paraId="406367BB" w14:textId="77777777" w:rsidR="00B42681" w:rsidRPr="00CA6572" w:rsidRDefault="00B42681" w:rsidP="00FB7076">
      <w:pPr>
        <w:spacing w:before="120" w:after="120" w:line="360" w:lineRule="auto"/>
        <w:ind w:left="540"/>
        <w:jc w:val="both"/>
        <w:rPr>
          <w:color w:val="000000"/>
          <w:sz w:val="24"/>
          <w:szCs w:val="24"/>
        </w:rPr>
      </w:pPr>
      <w:r w:rsidRPr="00CA6572">
        <w:rPr>
          <w:color w:val="000000"/>
          <w:sz w:val="24"/>
          <w:szCs w:val="24"/>
        </w:rPr>
        <w:t>So, we use:</w:t>
      </w:r>
    </w:p>
    <w:p w14:paraId="408F526A" w14:textId="4043B5DF" w:rsidR="00B42681" w:rsidRPr="00CA6572" w:rsidRDefault="00B42681" w:rsidP="00FB7076">
      <w:pPr>
        <w:spacing w:before="120" w:after="120" w:line="360" w:lineRule="auto"/>
        <w:ind w:left="540"/>
        <w:jc w:val="both"/>
        <w:rPr>
          <w:color w:val="000000"/>
          <w:sz w:val="24"/>
          <w:szCs w:val="24"/>
        </w:rPr>
      </w:pPr>
      <w:r w:rsidRPr="000A424C">
        <w:rPr>
          <w:b/>
          <w:bCs/>
          <w:i/>
          <w:iCs/>
          <w:color w:val="000000"/>
          <w:sz w:val="24"/>
          <w:szCs w:val="24"/>
        </w:rPr>
        <w:t>An ADR:</w:t>
      </w:r>
      <w:r w:rsidRPr="00CA6572">
        <w:rPr>
          <w:color w:val="000000"/>
          <w:sz w:val="24"/>
          <w:szCs w:val="24"/>
        </w:rPr>
        <w:t xml:space="preserve"> When it is generally accepted that drug </w:t>
      </w:r>
      <w:r w:rsidR="00804C39" w:rsidRPr="00CA6572">
        <w:rPr>
          <w:color w:val="000000"/>
          <w:sz w:val="24"/>
          <w:szCs w:val="24"/>
        </w:rPr>
        <w:t xml:space="preserve">X </w:t>
      </w:r>
      <w:r w:rsidRPr="00CA6572">
        <w:rPr>
          <w:color w:val="000000"/>
          <w:sz w:val="24"/>
          <w:szCs w:val="24"/>
        </w:rPr>
        <w:t>may cause effect</w:t>
      </w:r>
      <w:r w:rsidR="00804C39" w:rsidRPr="00CA6572">
        <w:rPr>
          <w:color w:val="000000"/>
          <w:sz w:val="24"/>
          <w:szCs w:val="24"/>
        </w:rPr>
        <w:t xml:space="preserve"> Y </w:t>
      </w:r>
      <w:r w:rsidRPr="00CA6572">
        <w:rPr>
          <w:color w:val="000000"/>
          <w:sz w:val="24"/>
          <w:szCs w:val="24"/>
        </w:rPr>
        <w:t>rather than in relation to individual cases. We qualify the term with ‘possible’ if there is doubt.</w:t>
      </w:r>
    </w:p>
    <w:p w14:paraId="55599269" w14:textId="0CE0E736" w:rsidR="00B42681" w:rsidRPr="00CA6572" w:rsidRDefault="00B42681" w:rsidP="00FB7076">
      <w:pPr>
        <w:spacing w:before="120" w:after="120" w:line="360" w:lineRule="auto"/>
        <w:ind w:left="540"/>
        <w:jc w:val="both"/>
        <w:rPr>
          <w:color w:val="000000"/>
          <w:sz w:val="24"/>
          <w:szCs w:val="24"/>
        </w:rPr>
      </w:pPr>
      <w:r w:rsidRPr="000A424C">
        <w:rPr>
          <w:b/>
          <w:bCs/>
          <w:i/>
          <w:iCs/>
          <w:color w:val="000000"/>
          <w:sz w:val="24"/>
          <w:szCs w:val="24"/>
        </w:rPr>
        <w:t>A Suspected ADR</w:t>
      </w:r>
      <w:r w:rsidRPr="00CA6572">
        <w:rPr>
          <w:i/>
          <w:iCs/>
          <w:color w:val="000000"/>
          <w:sz w:val="24"/>
          <w:szCs w:val="24"/>
        </w:rPr>
        <w:t>:</w:t>
      </w:r>
      <w:r w:rsidRPr="00CA6572">
        <w:rPr>
          <w:color w:val="000000"/>
          <w:sz w:val="24"/>
          <w:szCs w:val="24"/>
        </w:rPr>
        <w:t xml:space="preserve"> When a health professional or investigator indicates that a drug </w:t>
      </w:r>
      <w:r w:rsidRPr="00CA6572">
        <w:rPr>
          <w:i/>
          <w:iCs/>
          <w:color w:val="000000"/>
          <w:sz w:val="24"/>
          <w:szCs w:val="24"/>
        </w:rPr>
        <w:t xml:space="preserve">may </w:t>
      </w:r>
      <w:r w:rsidRPr="00CA6572">
        <w:rPr>
          <w:color w:val="000000"/>
          <w:sz w:val="24"/>
          <w:szCs w:val="24"/>
        </w:rPr>
        <w:t>have been responsible for an event in an individual case. A valid case submitted as a spontaneous</w:t>
      </w:r>
      <w:r w:rsidR="00FF5324">
        <w:rPr>
          <w:color w:val="000000"/>
          <w:sz w:val="24"/>
          <w:szCs w:val="24"/>
        </w:rPr>
        <w:t xml:space="preserve"> </w:t>
      </w:r>
      <w:r w:rsidRPr="00CA6572">
        <w:rPr>
          <w:color w:val="000000"/>
          <w:sz w:val="24"/>
          <w:szCs w:val="24"/>
        </w:rPr>
        <w:t>report to a company or regulatory authority is a suspected ADR by definition.</w:t>
      </w:r>
    </w:p>
    <w:p w14:paraId="6852A12E" w14:textId="77777777" w:rsidR="00B42681" w:rsidRPr="00CA6572" w:rsidRDefault="00B42681" w:rsidP="00FB7076">
      <w:pPr>
        <w:spacing w:before="120" w:after="120" w:line="360" w:lineRule="auto"/>
        <w:ind w:left="540"/>
        <w:jc w:val="both"/>
        <w:rPr>
          <w:color w:val="000000"/>
          <w:sz w:val="24"/>
          <w:szCs w:val="24"/>
        </w:rPr>
      </w:pPr>
      <w:r w:rsidRPr="00CA6572">
        <w:rPr>
          <w:i/>
          <w:iCs/>
          <w:color w:val="000000"/>
          <w:sz w:val="24"/>
          <w:szCs w:val="24"/>
        </w:rPr>
        <w:t>An AE:</w:t>
      </w:r>
      <w:r w:rsidRPr="00CA6572">
        <w:rPr>
          <w:color w:val="000000"/>
          <w:sz w:val="24"/>
          <w:szCs w:val="24"/>
        </w:rPr>
        <w:t xml:space="preserve"> only in the context of systematic data collection when no element of judgment is involved in determining whether or not a case is counted</w:t>
      </w:r>
    </w:p>
    <w:p w14:paraId="44FE5626" w14:textId="472B3BF9" w:rsidR="00B42681" w:rsidRPr="009A3789" w:rsidRDefault="009A3789" w:rsidP="009A3789">
      <w:pPr>
        <w:rPr>
          <w:b/>
          <w:bCs/>
          <w:sz w:val="28"/>
          <w:szCs w:val="28"/>
          <w:u w:val="single"/>
        </w:rPr>
      </w:pPr>
      <w:r w:rsidRPr="009A3789">
        <w:rPr>
          <w:b/>
          <w:bCs/>
          <w:sz w:val="28"/>
          <w:szCs w:val="28"/>
        </w:rPr>
        <w:t xml:space="preserve">3.2 </w:t>
      </w:r>
      <w:r w:rsidR="00B42681" w:rsidRPr="009A3789">
        <w:rPr>
          <w:b/>
          <w:bCs/>
          <w:sz w:val="28"/>
          <w:szCs w:val="28"/>
          <w:u w:val="single"/>
        </w:rPr>
        <w:t>Classification of Adverse Drug Reactions.</w:t>
      </w:r>
    </w:p>
    <w:p w14:paraId="6C3BD3FB" w14:textId="00A4FBE4" w:rsidR="00B42681" w:rsidRPr="00CA6572" w:rsidRDefault="00B42681" w:rsidP="00FB7076">
      <w:pPr>
        <w:spacing w:before="120" w:after="120" w:line="360" w:lineRule="auto"/>
        <w:ind w:left="540"/>
        <w:jc w:val="both"/>
        <w:rPr>
          <w:color w:val="000000"/>
          <w:sz w:val="24"/>
          <w:szCs w:val="24"/>
        </w:rPr>
      </w:pPr>
      <w:r w:rsidRPr="00CA6572">
        <w:rPr>
          <w:color w:val="000000"/>
          <w:sz w:val="24"/>
          <w:szCs w:val="24"/>
        </w:rPr>
        <w:t>ADRs are broadly classified in</w:t>
      </w:r>
      <w:r w:rsidR="00804C39">
        <w:rPr>
          <w:color w:val="000000"/>
          <w:sz w:val="24"/>
          <w:szCs w:val="24"/>
        </w:rPr>
        <w:t>to</w:t>
      </w:r>
      <w:r w:rsidRPr="00CA6572">
        <w:rPr>
          <w:color w:val="000000"/>
          <w:sz w:val="24"/>
          <w:szCs w:val="24"/>
        </w:rPr>
        <w:t xml:space="preserve"> two categories: Type A and Type B</w:t>
      </w:r>
    </w:p>
    <w:p w14:paraId="4E403EC4" w14:textId="41750300" w:rsidR="00B42681" w:rsidRPr="00FB7076" w:rsidRDefault="00FB7076" w:rsidP="00FB7076">
      <w:pPr>
        <w:ind w:left="540"/>
        <w:rPr>
          <w:i/>
          <w:iCs/>
          <w:sz w:val="24"/>
          <w:szCs w:val="24"/>
        </w:rPr>
      </w:pPr>
      <w:r w:rsidRPr="00FB7076">
        <w:rPr>
          <w:i/>
          <w:iCs/>
          <w:sz w:val="24"/>
          <w:szCs w:val="24"/>
        </w:rPr>
        <w:t xml:space="preserve">a. </w:t>
      </w:r>
      <w:r w:rsidR="00B42681" w:rsidRPr="00FB7076">
        <w:rPr>
          <w:i/>
          <w:iCs/>
          <w:sz w:val="24"/>
          <w:szCs w:val="24"/>
        </w:rPr>
        <w:t>Type A (Augmented) reactions are generally:</w:t>
      </w:r>
    </w:p>
    <w:p w14:paraId="11B4C557" w14:textId="77777777" w:rsidR="00B42681" w:rsidRPr="00CA6572" w:rsidRDefault="00B42681" w:rsidP="00B551AA">
      <w:pPr>
        <w:pStyle w:val="ListParagraph"/>
        <w:widowControl/>
        <w:numPr>
          <w:ilvl w:val="0"/>
          <w:numId w:val="25"/>
        </w:numPr>
        <w:spacing w:before="120" w:after="120" w:line="360" w:lineRule="auto"/>
        <w:ind w:left="540" w:firstLine="1170"/>
        <w:contextualSpacing w:val="0"/>
        <w:rPr>
          <w:sz w:val="24"/>
          <w:szCs w:val="24"/>
        </w:rPr>
      </w:pPr>
      <w:r w:rsidRPr="00CA6572">
        <w:rPr>
          <w:color w:val="000000"/>
          <w:sz w:val="24"/>
          <w:szCs w:val="24"/>
        </w:rPr>
        <w:t>Dose-related</w:t>
      </w:r>
    </w:p>
    <w:p w14:paraId="5F034FCE" w14:textId="77777777" w:rsidR="00B42681" w:rsidRPr="00CA6572" w:rsidRDefault="00B42681" w:rsidP="00B551AA">
      <w:pPr>
        <w:pStyle w:val="ListParagraph"/>
        <w:widowControl/>
        <w:numPr>
          <w:ilvl w:val="0"/>
          <w:numId w:val="25"/>
        </w:numPr>
        <w:spacing w:before="120" w:after="120" w:line="360" w:lineRule="auto"/>
        <w:ind w:left="540" w:firstLine="1170"/>
        <w:contextualSpacing w:val="0"/>
        <w:rPr>
          <w:sz w:val="24"/>
          <w:szCs w:val="24"/>
        </w:rPr>
      </w:pPr>
      <w:r w:rsidRPr="00CA6572">
        <w:rPr>
          <w:color w:val="000000"/>
          <w:sz w:val="24"/>
          <w:szCs w:val="24"/>
        </w:rPr>
        <w:t>Predictable from drug pharmacology</w:t>
      </w:r>
    </w:p>
    <w:p w14:paraId="1D196A54" w14:textId="77777777" w:rsidR="00B42681" w:rsidRPr="00CA6572" w:rsidRDefault="00B42681" w:rsidP="00B551AA">
      <w:pPr>
        <w:pStyle w:val="ListParagraph"/>
        <w:widowControl/>
        <w:numPr>
          <w:ilvl w:val="0"/>
          <w:numId w:val="25"/>
        </w:numPr>
        <w:spacing w:before="120" w:after="120" w:line="360" w:lineRule="auto"/>
        <w:ind w:left="540" w:firstLine="1170"/>
        <w:contextualSpacing w:val="0"/>
        <w:rPr>
          <w:sz w:val="24"/>
          <w:szCs w:val="24"/>
        </w:rPr>
      </w:pPr>
      <w:r w:rsidRPr="00CA6572">
        <w:rPr>
          <w:color w:val="000000"/>
          <w:sz w:val="24"/>
          <w:szCs w:val="24"/>
        </w:rPr>
        <w:t>Common</w:t>
      </w:r>
    </w:p>
    <w:p w14:paraId="7310DFD8" w14:textId="77777777" w:rsidR="00B42681" w:rsidRPr="00CA6572" w:rsidRDefault="00B42681" w:rsidP="00B551AA">
      <w:pPr>
        <w:pStyle w:val="ListParagraph"/>
        <w:widowControl/>
        <w:numPr>
          <w:ilvl w:val="0"/>
          <w:numId w:val="25"/>
        </w:numPr>
        <w:spacing w:before="120" w:after="120" w:line="360" w:lineRule="auto"/>
        <w:ind w:left="540" w:firstLine="1170"/>
        <w:contextualSpacing w:val="0"/>
        <w:rPr>
          <w:sz w:val="24"/>
          <w:szCs w:val="24"/>
        </w:rPr>
      </w:pPr>
      <w:r w:rsidRPr="00CA6572">
        <w:rPr>
          <w:color w:val="000000"/>
          <w:sz w:val="24"/>
          <w:szCs w:val="24"/>
        </w:rPr>
        <w:t xml:space="preserve"> Normally reversible</w:t>
      </w:r>
    </w:p>
    <w:p w14:paraId="6404DA67" w14:textId="393FAC9D" w:rsidR="00B42681" w:rsidRPr="00FB7076" w:rsidRDefault="00B42681" w:rsidP="00B551AA">
      <w:pPr>
        <w:pStyle w:val="ListParagraph"/>
        <w:widowControl/>
        <w:numPr>
          <w:ilvl w:val="0"/>
          <w:numId w:val="25"/>
        </w:numPr>
        <w:spacing w:before="120" w:after="120" w:line="360" w:lineRule="auto"/>
        <w:ind w:left="540" w:firstLine="1170"/>
        <w:contextualSpacing w:val="0"/>
        <w:rPr>
          <w:sz w:val="24"/>
          <w:szCs w:val="24"/>
        </w:rPr>
      </w:pPr>
      <w:r w:rsidRPr="00CA6572">
        <w:rPr>
          <w:color w:val="000000"/>
          <w:sz w:val="24"/>
          <w:szCs w:val="24"/>
        </w:rPr>
        <w:t>Can be managed with dose adjustment.</w:t>
      </w:r>
    </w:p>
    <w:p w14:paraId="6CA365BD" w14:textId="545FFF11" w:rsidR="00B42681" w:rsidRPr="00FB7076" w:rsidRDefault="00B42681" w:rsidP="00FB7076">
      <w:pPr>
        <w:pStyle w:val="ListParagraph"/>
        <w:spacing w:before="120" w:after="120" w:line="360" w:lineRule="auto"/>
        <w:ind w:left="540"/>
        <w:contextualSpacing w:val="0"/>
        <w:rPr>
          <w:color w:val="000000"/>
          <w:sz w:val="24"/>
          <w:szCs w:val="24"/>
        </w:rPr>
      </w:pPr>
      <w:r w:rsidRPr="00CA6572">
        <w:rPr>
          <w:color w:val="000000"/>
          <w:sz w:val="24"/>
          <w:szCs w:val="24"/>
        </w:rPr>
        <w:lastRenderedPageBreak/>
        <w:t xml:space="preserve">Classic examples of Type A reactions are bleeding with warfarin, hypoglycaemia with </w:t>
      </w:r>
      <w:proofErr w:type="spellStart"/>
      <w:r w:rsidRPr="00CA6572">
        <w:rPr>
          <w:color w:val="000000"/>
          <w:sz w:val="24"/>
          <w:szCs w:val="24"/>
        </w:rPr>
        <w:t>sulphonylureas</w:t>
      </w:r>
      <w:proofErr w:type="spellEnd"/>
      <w:r w:rsidRPr="00CA6572">
        <w:rPr>
          <w:color w:val="000000"/>
          <w:sz w:val="24"/>
          <w:szCs w:val="24"/>
        </w:rPr>
        <w:t xml:space="preserve"> and headache with glyceryl</w:t>
      </w:r>
      <w:r w:rsidR="00804C39">
        <w:rPr>
          <w:color w:val="000000"/>
          <w:sz w:val="24"/>
          <w:szCs w:val="24"/>
        </w:rPr>
        <w:t xml:space="preserve"> </w:t>
      </w:r>
      <w:r w:rsidRPr="00CA6572">
        <w:rPr>
          <w:color w:val="000000"/>
          <w:sz w:val="24"/>
          <w:szCs w:val="24"/>
        </w:rPr>
        <w:t>trinitrate.</w:t>
      </w:r>
    </w:p>
    <w:p w14:paraId="5382E990" w14:textId="6109C967" w:rsidR="00B42681" w:rsidRPr="00FB7076" w:rsidRDefault="00FB7076" w:rsidP="00FB7076">
      <w:pPr>
        <w:ind w:left="540"/>
        <w:rPr>
          <w:i/>
          <w:iCs/>
          <w:sz w:val="24"/>
          <w:szCs w:val="24"/>
        </w:rPr>
      </w:pPr>
      <w:r w:rsidRPr="00FB7076">
        <w:rPr>
          <w:i/>
          <w:iCs/>
          <w:sz w:val="24"/>
          <w:szCs w:val="24"/>
        </w:rPr>
        <w:t xml:space="preserve">b. </w:t>
      </w:r>
      <w:r w:rsidR="00B42681" w:rsidRPr="00FB7076">
        <w:rPr>
          <w:i/>
          <w:iCs/>
          <w:sz w:val="24"/>
          <w:szCs w:val="24"/>
        </w:rPr>
        <w:t>Type B (Bizarre) reactions are generally:</w:t>
      </w:r>
    </w:p>
    <w:p w14:paraId="60471459" w14:textId="77777777" w:rsidR="00B42681" w:rsidRPr="00CA6572" w:rsidRDefault="00B42681" w:rsidP="00B551AA">
      <w:pPr>
        <w:pStyle w:val="ListParagraph"/>
        <w:widowControl/>
        <w:numPr>
          <w:ilvl w:val="0"/>
          <w:numId w:val="26"/>
        </w:numPr>
        <w:spacing w:before="120" w:after="120" w:line="360" w:lineRule="auto"/>
        <w:ind w:left="2250" w:hanging="540"/>
        <w:contextualSpacing w:val="0"/>
        <w:rPr>
          <w:color w:val="000000"/>
          <w:sz w:val="24"/>
          <w:szCs w:val="24"/>
        </w:rPr>
      </w:pPr>
      <w:r w:rsidRPr="00CA6572">
        <w:rPr>
          <w:color w:val="000000"/>
          <w:sz w:val="24"/>
          <w:szCs w:val="24"/>
        </w:rPr>
        <w:t>Not dose-related</w:t>
      </w:r>
    </w:p>
    <w:p w14:paraId="21E48EC6" w14:textId="77777777" w:rsidR="00B42681" w:rsidRPr="00CA6572" w:rsidRDefault="00B42681" w:rsidP="00B551AA">
      <w:pPr>
        <w:pStyle w:val="ListParagraph"/>
        <w:widowControl/>
        <w:numPr>
          <w:ilvl w:val="0"/>
          <w:numId w:val="26"/>
        </w:numPr>
        <w:spacing w:before="120" w:after="120" w:line="360" w:lineRule="auto"/>
        <w:ind w:left="2250" w:hanging="540"/>
        <w:contextualSpacing w:val="0"/>
        <w:rPr>
          <w:color w:val="000000"/>
          <w:sz w:val="24"/>
          <w:szCs w:val="24"/>
        </w:rPr>
      </w:pPr>
      <w:r w:rsidRPr="00CA6572">
        <w:rPr>
          <w:color w:val="000000"/>
          <w:sz w:val="24"/>
          <w:szCs w:val="24"/>
        </w:rPr>
        <w:t>Unpredictable</w:t>
      </w:r>
    </w:p>
    <w:p w14:paraId="5845FFBF" w14:textId="77777777" w:rsidR="00B42681" w:rsidRPr="00CA6572" w:rsidRDefault="00B42681" w:rsidP="00B551AA">
      <w:pPr>
        <w:pStyle w:val="ListParagraph"/>
        <w:widowControl/>
        <w:numPr>
          <w:ilvl w:val="0"/>
          <w:numId w:val="26"/>
        </w:numPr>
        <w:spacing w:before="120" w:after="120" w:line="360" w:lineRule="auto"/>
        <w:ind w:left="2250" w:hanging="540"/>
        <w:contextualSpacing w:val="0"/>
        <w:rPr>
          <w:color w:val="000000"/>
          <w:sz w:val="24"/>
          <w:szCs w:val="24"/>
        </w:rPr>
      </w:pPr>
      <w:r w:rsidRPr="00CA6572">
        <w:rPr>
          <w:color w:val="000000"/>
          <w:sz w:val="24"/>
          <w:szCs w:val="24"/>
        </w:rPr>
        <w:t xml:space="preserve"> Uncommon</w:t>
      </w:r>
    </w:p>
    <w:p w14:paraId="1071169C" w14:textId="77777777" w:rsidR="00B42681" w:rsidRPr="00CA6572" w:rsidRDefault="00B42681" w:rsidP="00B551AA">
      <w:pPr>
        <w:pStyle w:val="ListParagraph"/>
        <w:widowControl/>
        <w:numPr>
          <w:ilvl w:val="0"/>
          <w:numId w:val="26"/>
        </w:numPr>
        <w:spacing w:before="120" w:after="120" w:line="360" w:lineRule="auto"/>
        <w:ind w:left="2250" w:hanging="540"/>
        <w:contextualSpacing w:val="0"/>
        <w:rPr>
          <w:color w:val="000000"/>
          <w:sz w:val="24"/>
          <w:szCs w:val="24"/>
        </w:rPr>
      </w:pPr>
      <w:r w:rsidRPr="00CA6572">
        <w:rPr>
          <w:color w:val="000000"/>
          <w:sz w:val="24"/>
          <w:szCs w:val="24"/>
        </w:rPr>
        <w:t xml:space="preserve"> May be serious/irreversible</w:t>
      </w:r>
    </w:p>
    <w:p w14:paraId="231F829E" w14:textId="37039B1C" w:rsidR="00B42681" w:rsidRPr="00FB7076" w:rsidRDefault="00B42681" w:rsidP="00B551AA">
      <w:pPr>
        <w:pStyle w:val="ListParagraph"/>
        <w:widowControl/>
        <w:numPr>
          <w:ilvl w:val="0"/>
          <w:numId w:val="26"/>
        </w:numPr>
        <w:spacing w:before="120" w:after="120" w:line="360" w:lineRule="auto"/>
        <w:ind w:left="2250" w:hanging="540"/>
        <w:contextualSpacing w:val="0"/>
        <w:rPr>
          <w:color w:val="000000"/>
          <w:sz w:val="24"/>
          <w:szCs w:val="24"/>
        </w:rPr>
      </w:pPr>
      <w:r w:rsidRPr="00CA6572">
        <w:rPr>
          <w:color w:val="000000"/>
          <w:sz w:val="24"/>
          <w:szCs w:val="24"/>
        </w:rPr>
        <w:t>Indicative that the drug needs to be stopped.</w:t>
      </w:r>
    </w:p>
    <w:p w14:paraId="32289760" w14:textId="01C91396" w:rsidR="00B42681" w:rsidRPr="00FB7076" w:rsidRDefault="00B42681" w:rsidP="00FB7076">
      <w:pPr>
        <w:pStyle w:val="ListParagraph"/>
        <w:spacing w:before="120" w:after="120" w:line="360" w:lineRule="auto"/>
        <w:ind w:left="540"/>
        <w:contextualSpacing w:val="0"/>
        <w:rPr>
          <w:color w:val="000000"/>
          <w:sz w:val="24"/>
          <w:szCs w:val="24"/>
        </w:rPr>
      </w:pPr>
      <w:r w:rsidRPr="00CA6572">
        <w:rPr>
          <w:color w:val="000000"/>
          <w:sz w:val="24"/>
          <w:szCs w:val="24"/>
        </w:rPr>
        <w:t>Classic examples of Type B reactions are anaphylaxis with penicillin, hepatitis</w:t>
      </w:r>
      <w:r w:rsidR="00423C6F">
        <w:rPr>
          <w:color w:val="000000"/>
          <w:sz w:val="24"/>
          <w:szCs w:val="24"/>
        </w:rPr>
        <w:t xml:space="preserve"> </w:t>
      </w:r>
      <w:r w:rsidRPr="00CA6572">
        <w:rPr>
          <w:color w:val="000000"/>
          <w:sz w:val="24"/>
          <w:szCs w:val="24"/>
        </w:rPr>
        <w:t>with halothane and agranulocytosis with clozapine.</w:t>
      </w:r>
    </w:p>
    <w:p w14:paraId="00DB9E54" w14:textId="5362BD5F" w:rsidR="00B42681" w:rsidRPr="00FB7076" w:rsidRDefault="00B42681" w:rsidP="00FB7076">
      <w:pPr>
        <w:pStyle w:val="ListParagraph"/>
        <w:spacing w:before="120" w:after="120" w:line="360" w:lineRule="auto"/>
        <w:ind w:left="540"/>
        <w:contextualSpacing w:val="0"/>
        <w:rPr>
          <w:color w:val="000000"/>
          <w:sz w:val="24"/>
          <w:szCs w:val="24"/>
        </w:rPr>
      </w:pPr>
      <w:r w:rsidRPr="00CA6572">
        <w:rPr>
          <w:color w:val="000000"/>
          <w:sz w:val="24"/>
          <w:szCs w:val="24"/>
        </w:rPr>
        <w:t>There are four additional categories of ADRs, which are as follows:</w:t>
      </w:r>
    </w:p>
    <w:p w14:paraId="0455BAEF" w14:textId="2F03B384" w:rsidR="00B42681" w:rsidRPr="00CA6572" w:rsidRDefault="00B42681" w:rsidP="00B551AA">
      <w:pPr>
        <w:pStyle w:val="ListParagraph"/>
        <w:widowControl/>
        <w:numPr>
          <w:ilvl w:val="0"/>
          <w:numId w:val="24"/>
        </w:numPr>
        <w:tabs>
          <w:tab w:val="left" w:pos="1440"/>
        </w:tabs>
        <w:spacing w:before="120" w:after="120" w:line="360" w:lineRule="auto"/>
        <w:ind w:left="1440"/>
        <w:contextualSpacing w:val="0"/>
        <w:rPr>
          <w:color w:val="000000"/>
          <w:sz w:val="24"/>
          <w:szCs w:val="24"/>
        </w:rPr>
      </w:pPr>
      <w:r w:rsidRPr="00CA6572">
        <w:rPr>
          <w:i/>
          <w:iCs/>
          <w:color w:val="000000"/>
          <w:sz w:val="24"/>
          <w:szCs w:val="24"/>
        </w:rPr>
        <w:t>Type C (</w:t>
      </w:r>
      <w:r>
        <w:rPr>
          <w:i/>
          <w:iCs/>
          <w:color w:val="000000"/>
          <w:sz w:val="24"/>
          <w:szCs w:val="24"/>
        </w:rPr>
        <w:t>Continuous</w:t>
      </w:r>
      <w:r w:rsidRPr="00CA6572">
        <w:rPr>
          <w:i/>
          <w:iCs/>
          <w:color w:val="000000"/>
          <w:sz w:val="24"/>
          <w:szCs w:val="24"/>
        </w:rPr>
        <w:t>):</w:t>
      </w:r>
      <w:r w:rsidRPr="00CA6572">
        <w:rPr>
          <w:color w:val="000000"/>
          <w:sz w:val="24"/>
          <w:szCs w:val="24"/>
        </w:rPr>
        <w:t xml:space="preserve"> – Reaction due to long</w:t>
      </w:r>
      <w:r w:rsidR="00465B02">
        <w:rPr>
          <w:color w:val="000000"/>
          <w:sz w:val="24"/>
          <w:szCs w:val="24"/>
        </w:rPr>
        <w:t>-</w:t>
      </w:r>
      <w:r w:rsidRPr="00CA6572">
        <w:rPr>
          <w:color w:val="000000"/>
          <w:sz w:val="24"/>
          <w:szCs w:val="24"/>
        </w:rPr>
        <w:t>term use, e.g. adrenal suppression with corticosteroids.</w:t>
      </w:r>
    </w:p>
    <w:p w14:paraId="67F12210" w14:textId="77777777" w:rsidR="00B42681" w:rsidRPr="00CA6572" w:rsidRDefault="00B42681" w:rsidP="00B551AA">
      <w:pPr>
        <w:pStyle w:val="ListParagraph"/>
        <w:widowControl/>
        <w:numPr>
          <w:ilvl w:val="0"/>
          <w:numId w:val="24"/>
        </w:numPr>
        <w:tabs>
          <w:tab w:val="left" w:pos="1440"/>
        </w:tabs>
        <w:spacing w:before="120" w:after="120" w:line="360" w:lineRule="auto"/>
        <w:ind w:left="1440"/>
        <w:contextualSpacing w:val="0"/>
        <w:rPr>
          <w:color w:val="000000"/>
          <w:sz w:val="24"/>
          <w:szCs w:val="24"/>
        </w:rPr>
      </w:pPr>
      <w:r w:rsidRPr="00CA6572">
        <w:rPr>
          <w:i/>
          <w:iCs/>
          <w:color w:val="000000"/>
          <w:sz w:val="24"/>
          <w:szCs w:val="24"/>
        </w:rPr>
        <w:t>Type D (Delayed):</w:t>
      </w:r>
      <w:r w:rsidRPr="00CA6572">
        <w:rPr>
          <w:color w:val="000000"/>
          <w:sz w:val="24"/>
          <w:szCs w:val="24"/>
        </w:rPr>
        <w:t xml:space="preserve"> – e.g. tardive dyskinesia with neuroleptics</w:t>
      </w:r>
      <w:r>
        <w:rPr>
          <w:color w:val="000000"/>
          <w:sz w:val="24"/>
          <w:szCs w:val="24"/>
        </w:rPr>
        <w:t xml:space="preserve"> and teratogenic or carcinogenic effects with drugs.</w:t>
      </w:r>
    </w:p>
    <w:p w14:paraId="28B4B0D7" w14:textId="77777777" w:rsidR="00B42681" w:rsidRPr="00CA6572" w:rsidRDefault="00B42681" w:rsidP="00B551AA">
      <w:pPr>
        <w:pStyle w:val="ListParagraph"/>
        <w:widowControl/>
        <w:numPr>
          <w:ilvl w:val="0"/>
          <w:numId w:val="24"/>
        </w:numPr>
        <w:tabs>
          <w:tab w:val="left" w:pos="1440"/>
        </w:tabs>
        <w:spacing w:before="120" w:after="120" w:line="360" w:lineRule="auto"/>
        <w:ind w:left="1440"/>
        <w:contextualSpacing w:val="0"/>
        <w:rPr>
          <w:color w:val="000000"/>
          <w:sz w:val="24"/>
          <w:szCs w:val="24"/>
        </w:rPr>
      </w:pPr>
      <w:r w:rsidRPr="00CA6572">
        <w:rPr>
          <w:i/>
          <w:iCs/>
          <w:color w:val="000000"/>
          <w:sz w:val="24"/>
          <w:szCs w:val="24"/>
        </w:rPr>
        <w:t>Type E (End of use):</w:t>
      </w:r>
      <w:r w:rsidRPr="00CA6572">
        <w:rPr>
          <w:color w:val="000000"/>
          <w:sz w:val="24"/>
          <w:szCs w:val="24"/>
        </w:rPr>
        <w:t xml:space="preserve"> – e.g. withdrawal reactions with benzodiazepines.</w:t>
      </w:r>
    </w:p>
    <w:p w14:paraId="36F0E759" w14:textId="77777777" w:rsidR="00B42681" w:rsidRPr="00CA6572" w:rsidRDefault="00B42681" w:rsidP="00B551AA">
      <w:pPr>
        <w:pStyle w:val="ListParagraph"/>
        <w:widowControl/>
        <w:numPr>
          <w:ilvl w:val="0"/>
          <w:numId w:val="24"/>
        </w:numPr>
        <w:tabs>
          <w:tab w:val="left" w:pos="1440"/>
        </w:tabs>
        <w:spacing w:before="120" w:after="120" w:line="360" w:lineRule="auto"/>
        <w:ind w:left="1440"/>
        <w:contextualSpacing w:val="0"/>
        <w:rPr>
          <w:color w:val="000000"/>
          <w:sz w:val="24"/>
          <w:szCs w:val="24"/>
        </w:rPr>
      </w:pPr>
      <w:r w:rsidRPr="00CA6572">
        <w:rPr>
          <w:i/>
          <w:iCs/>
          <w:color w:val="000000"/>
          <w:sz w:val="24"/>
          <w:szCs w:val="24"/>
        </w:rPr>
        <w:t>Type F (Failure of Therapy):</w:t>
      </w:r>
      <w:r w:rsidRPr="00CA6572">
        <w:rPr>
          <w:color w:val="000000"/>
          <w:sz w:val="24"/>
          <w:szCs w:val="24"/>
        </w:rPr>
        <w:t xml:space="preserve"> Treatment of Failure.</w:t>
      </w:r>
    </w:p>
    <w:p w14:paraId="52E8007F" w14:textId="77777777" w:rsidR="00B42681" w:rsidRPr="00CA6572" w:rsidRDefault="00B42681" w:rsidP="00B42681">
      <w:pPr>
        <w:pStyle w:val="ListParagraph"/>
        <w:rPr>
          <w:color w:val="000000"/>
          <w:sz w:val="24"/>
          <w:szCs w:val="24"/>
        </w:rPr>
      </w:pPr>
    </w:p>
    <w:p w14:paraId="2967E6B3" w14:textId="6B91F49D" w:rsidR="00B42681" w:rsidRPr="00FB7076" w:rsidRDefault="00FB7076" w:rsidP="00FB7076">
      <w:pPr>
        <w:spacing w:before="120" w:after="120" w:line="360" w:lineRule="auto"/>
        <w:rPr>
          <w:b/>
          <w:bCs/>
          <w:sz w:val="28"/>
          <w:szCs w:val="28"/>
          <w:u w:val="single"/>
        </w:rPr>
      </w:pPr>
      <w:r>
        <w:rPr>
          <w:b/>
          <w:bCs/>
          <w:sz w:val="28"/>
          <w:szCs w:val="28"/>
        </w:rPr>
        <w:t xml:space="preserve">3.3 </w:t>
      </w:r>
      <w:r w:rsidR="00B42681" w:rsidRPr="00FB7076">
        <w:rPr>
          <w:b/>
          <w:bCs/>
          <w:sz w:val="28"/>
          <w:szCs w:val="28"/>
          <w:u w:val="single"/>
        </w:rPr>
        <w:t>DOTS Classification of Adverse Drug Reaction:</w:t>
      </w:r>
    </w:p>
    <w:p w14:paraId="120A1D59" w14:textId="0BB2F1A7" w:rsidR="00B42681" w:rsidRPr="00CA6572" w:rsidRDefault="00B42681" w:rsidP="003E0236">
      <w:pPr>
        <w:pStyle w:val="ListParagraph"/>
        <w:tabs>
          <w:tab w:val="left" w:pos="540"/>
        </w:tabs>
        <w:spacing w:before="120" w:after="120" w:line="360" w:lineRule="auto"/>
        <w:ind w:left="540"/>
        <w:contextualSpacing w:val="0"/>
        <w:jc w:val="both"/>
        <w:rPr>
          <w:sz w:val="24"/>
          <w:szCs w:val="24"/>
        </w:rPr>
      </w:pPr>
      <w:r w:rsidRPr="00CA6572">
        <w:rPr>
          <w:color w:val="000000"/>
          <w:sz w:val="24"/>
          <w:szCs w:val="24"/>
        </w:rPr>
        <w:t xml:space="preserve">This system is based on </w:t>
      </w:r>
      <w:r w:rsidRPr="00FD600E">
        <w:rPr>
          <w:b/>
          <w:bCs/>
          <w:i/>
          <w:color w:val="000000"/>
          <w:sz w:val="24"/>
          <w:szCs w:val="24"/>
        </w:rPr>
        <w:t>dose-relatedness</w:t>
      </w:r>
      <w:r w:rsidRPr="00FD600E">
        <w:rPr>
          <w:i/>
          <w:color w:val="000000"/>
          <w:sz w:val="24"/>
          <w:szCs w:val="24"/>
        </w:rPr>
        <w:t xml:space="preserve">, </w:t>
      </w:r>
      <w:r w:rsidRPr="00FD600E">
        <w:rPr>
          <w:b/>
          <w:bCs/>
          <w:i/>
          <w:color w:val="000000"/>
          <w:sz w:val="24"/>
          <w:szCs w:val="24"/>
        </w:rPr>
        <w:t>time course</w:t>
      </w:r>
      <w:r w:rsidRPr="00CA6572">
        <w:rPr>
          <w:b/>
          <w:bCs/>
          <w:color w:val="000000"/>
          <w:sz w:val="24"/>
          <w:szCs w:val="24"/>
        </w:rPr>
        <w:t xml:space="preserve"> </w:t>
      </w:r>
      <w:r w:rsidRPr="00CA6572">
        <w:rPr>
          <w:color w:val="000000"/>
          <w:sz w:val="24"/>
          <w:szCs w:val="24"/>
        </w:rPr>
        <w:t>and</w:t>
      </w:r>
      <w:r w:rsidRPr="00FD600E">
        <w:rPr>
          <w:i/>
          <w:color w:val="000000"/>
          <w:sz w:val="24"/>
          <w:szCs w:val="24"/>
        </w:rPr>
        <w:t xml:space="preserve"> </w:t>
      </w:r>
      <w:r w:rsidRPr="00FD600E">
        <w:rPr>
          <w:b/>
          <w:bCs/>
          <w:i/>
          <w:color w:val="000000"/>
          <w:sz w:val="24"/>
          <w:szCs w:val="24"/>
        </w:rPr>
        <w:t>susceptibility</w:t>
      </w:r>
      <w:r w:rsidRPr="00CA6572">
        <w:rPr>
          <w:b/>
          <w:bCs/>
          <w:color w:val="000000"/>
          <w:sz w:val="24"/>
          <w:szCs w:val="24"/>
        </w:rPr>
        <w:t xml:space="preserve">; </w:t>
      </w:r>
      <w:r w:rsidRPr="00CA6572">
        <w:rPr>
          <w:color w:val="000000"/>
          <w:sz w:val="24"/>
          <w:szCs w:val="24"/>
        </w:rPr>
        <w:t>this is known as ‘</w:t>
      </w:r>
      <w:proofErr w:type="spellStart"/>
      <w:r w:rsidRPr="00CA6572">
        <w:rPr>
          <w:color w:val="000000"/>
          <w:sz w:val="24"/>
          <w:szCs w:val="24"/>
        </w:rPr>
        <w:t>DoTS</w:t>
      </w:r>
      <w:proofErr w:type="spellEnd"/>
      <w:r w:rsidRPr="00CA6572">
        <w:rPr>
          <w:color w:val="000000"/>
          <w:sz w:val="24"/>
          <w:szCs w:val="24"/>
        </w:rPr>
        <w:t xml:space="preserve">’. The main ways in which ADRs may be classified within each of these three categories </w:t>
      </w:r>
      <w:r w:rsidR="00901558">
        <w:rPr>
          <w:color w:val="000000"/>
          <w:sz w:val="24"/>
          <w:szCs w:val="24"/>
        </w:rPr>
        <w:t>are</w:t>
      </w:r>
      <w:r w:rsidRPr="00CA6572">
        <w:rPr>
          <w:color w:val="000000"/>
          <w:sz w:val="24"/>
          <w:szCs w:val="24"/>
        </w:rPr>
        <w:t xml:space="preserve"> given below:</w:t>
      </w:r>
    </w:p>
    <w:tbl>
      <w:tblPr>
        <w:tblStyle w:val="TableGrid"/>
        <w:tblW w:w="9606" w:type="dxa"/>
        <w:tblLook w:val="04A0" w:firstRow="1" w:lastRow="0" w:firstColumn="1" w:lastColumn="0" w:noHBand="0" w:noVBand="1"/>
      </w:tblPr>
      <w:tblGrid>
        <w:gridCol w:w="3202"/>
        <w:gridCol w:w="4466"/>
        <w:gridCol w:w="1938"/>
      </w:tblGrid>
      <w:tr w:rsidR="00B42681" w:rsidRPr="00CA6572" w14:paraId="5F92388E" w14:textId="77777777" w:rsidTr="00E56547">
        <w:trPr>
          <w:trHeight w:val="206"/>
        </w:trPr>
        <w:tc>
          <w:tcPr>
            <w:tcW w:w="3202" w:type="dxa"/>
          </w:tcPr>
          <w:p w14:paraId="29149B47" w14:textId="77777777" w:rsidR="00B42681" w:rsidRPr="00CA6572" w:rsidRDefault="00B42681" w:rsidP="00E56547">
            <w:pPr>
              <w:pStyle w:val="ListParagraph"/>
              <w:ind w:left="0"/>
              <w:rPr>
                <w:sz w:val="24"/>
                <w:szCs w:val="24"/>
              </w:rPr>
            </w:pPr>
            <w:r w:rsidRPr="00CA6572">
              <w:rPr>
                <w:b/>
                <w:bCs/>
                <w:color w:val="000000"/>
                <w:sz w:val="24"/>
                <w:szCs w:val="24"/>
              </w:rPr>
              <w:t>Dose</w:t>
            </w:r>
          </w:p>
        </w:tc>
        <w:tc>
          <w:tcPr>
            <w:tcW w:w="4466" w:type="dxa"/>
          </w:tcPr>
          <w:p w14:paraId="1695B243" w14:textId="77777777" w:rsidR="00B42681" w:rsidRPr="00CA6572" w:rsidRDefault="00B42681" w:rsidP="00E56547">
            <w:pPr>
              <w:pStyle w:val="ListParagraph"/>
              <w:ind w:left="0"/>
              <w:rPr>
                <w:sz w:val="24"/>
                <w:szCs w:val="24"/>
              </w:rPr>
            </w:pPr>
            <w:r w:rsidRPr="00CA6572">
              <w:rPr>
                <w:b/>
                <w:bCs/>
                <w:color w:val="000000"/>
                <w:sz w:val="24"/>
                <w:szCs w:val="24"/>
              </w:rPr>
              <w:t>Time</w:t>
            </w:r>
          </w:p>
        </w:tc>
        <w:tc>
          <w:tcPr>
            <w:tcW w:w="1938" w:type="dxa"/>
          </w:tcPr>
          <w:p w14:paraId="07E4620D" w14:textId="77777777" w:rsidR="00B42681" w:rsidRPr="00CA6572" w:rsidRDefault="00B42681" w:rsidP="00E56547">
            <w:pPr>
              <w:pStyle w:val="ListParagraph"/>
              <w:ind w:left="0"/>
              <w:rPr>
                <w:sz w:val="24"/>
                <w:szCs w:val="24"/>
              </w:rPr>
            </w:pPr>
            <w:r w:rsidRPr="00CA6572">
              <w:rPr>
                <w:b/>
                <w:bCs/>
                <w:color w:val="000000"/>
                <w:sz w:val="24"/>
                <w:szCs w:val="24"/>
              </w:rPr>
              <w:t>Susceptibility</w:t>
            </w:r>
          </w:p>
        </w:tc>
      </w:tr>
      <w:tr w:rsidR="00B42681" w:rsidRPr="00CA6572" w14:paraId="01C62CC9" w14:textId="77777777" w:rsidTr="00E56547">
        <w:trPr>
          <w:trHeight w:val="327"/>
        </w:trPr>
        <w:tc>
          <w:tcPr>
            <w:tcW w:w="3202" w:type="dxa"/>
          </w:tcPr>
          <w:p w14:paraId="07908365" w14:textId="77777777" w:rsidR="00B42681" w:rsidRPr="00CA6572" w:rsidRDefault="00B42681" w:rsidP="00E56547">
            <w:pPr>
              <w:pStyle w:val="ListParagraph"/>
              <w:ind w:left="0"/>
              <w:rPr>
                <w:color w:val="000000"/>
                <w:sz w:val="24"/>
                <w:szCs w:val="24"/>
              </w:rPr>
            </w:pPr>
            <w:r w:rsidRPr="00CA6572">
              <w:rPr>
                <w:color w:val="000000"/>
                <w:sz w:val="24"/>
                <w:szCs w:val="24"/>
              </w:rPr>
              <w:t>Toxic</w:t>
            </w:r>
          </w:p>
          <w:p w14:paraId="4E0D6B12" w14:textId="77777777" w:rsidR="00B42681" w:rsidRPr="00CA6572" w:rsidRDefault="00B42681" w:rsidP="00E56547">
            <w:pPr>
              <w:pStyle w:val="ListParagraph"/>
              <w:ind w:left="0"/>
              <w:rPr>
                <w:sz w:val="24"/>
                <w:szCs w:val="24"/>
              </w:rPr>
            </w:pPr>
            <w:r w:rsidRPr="00CA6572">
              <w:rPr>
                <w:color w:val="000000"/>
                <w:sz w:val="24"/>
                <w:szCs w:val="24"/>
              </w:rPr>
              <w:t>Collateral</w:t>
            </w:r>
          </w:p>
          <w:p w14:paraId="73D15FE9" w14:textId="77777777" w:rsidR="00B42681" w:rsidRPr="00CA6572" w:rsidRDefault="00B42681" w:rsidP="00E56547">
            <w:pPr>
              <w:pStyle w:val="ListParagraph"/>
              <w:ind w:left="0"/>
              <w:rPr>
                <w:sz w:val="24"/>
                <w:szCs w:val="24"/>
              </w:rPr>
            </w:pPr>
            <w:r w:rsidRPr="00CA6572">
              <w:rPr>
                <w:color w:val="000000"/>
                <w:sz w:val="24"/>
                <w:szCs w:val="24"/>
              </w:rPr>
              <w:t>Hyper susceptibility</w:t>
            </w:r>
          </w:p>
          <w:p w14:paraId="42596DB2" w14:textId="77777777" w:rsidR="00B42681" w:rsidRPr="00CA6572" w:rsidRDefault="00B42681" w:rsidP="00E56547">
            <w:pPr>
              <w:pStyle w:val="ListParagraph"/>
              <w:ind w:left="0"/>
              <w:rPr>
                <w:sz w:val="24"/>
                <w:szCs w:val="24"/>
              </w:rPr>
            </w:pPr>
          </w:p>
          <w:p w14:paraId="7BD22FD6" w14:textId="77777777" w:rsidR="00B42681" w:rsidRPr="00CA6572" w:rsidRDefault="00B42681" w:rsidP="00E56547">
            <w:pPr>
              <w:pStyle w:val="ListParagraph"/>
              <w:ind w:left="0"/>
              <w:rPr>
                <w:sz w:val="24"/>
                <w:szCs w:val="24"/>
              </w:rPr>
            </w:pPr>
          </w:p>
          <w:p w14:paraId="49820D58" w14:textId="77777777" w:rsidR="00B42681" w:rsidRPr="00CA6572" w:rsidRDefault="00B42681" w:rsidP="00E56547">
            <w:pPr>
              <w:pStyle w:val="ListParagraph"/>
              <w:ind w:left="0"/>
              <w:rPr>
                <w:sz w:val="24"/>
                <w:szCs w:val="24"/>
              </w:rPr>
            </w:pPr>
          </w:p>
          <w:p w14:paraId="1D46B253" w14:textId="77777777" w:rsidR="00B42681" w:rsidRPr="00CA6572" w:rsidRDefault="00B42681" w:rsidP="00E56547">
            <w:pPr>
              <w:pStyle w:val="ListParagraph"/>
              <w:ind w:left="0"/>
              <w:rPr>
                <w:sz w:val="24"/>
                <w:szCs w:val="24"/>
              </w:rPr>
            </w:pPr>
          </w:p>
          <w:p w14:paraId="3C33ED53" w14:textId="77777777" w:rsidR="00B42681" w:rsidRPr="00CA6572" w:rsidRDefault="00B42681" w:rsidP="00E56547">
            <w:pPr>
              <w:pStyle w:val="ListParagraph"/>
              <w:ind w:left="0"/>
              <w:rPr>
                <w:sz w:val="24"/>
                <w:szCs w:val="24"/>
              </w:rPr>
            </w:pPr>
          </w:p>
          <w:p w14:paraId="2F245475" w14:textId="77777777" w:rsidR="00B42681" w:rsidRPr="00CA6572" w:rsidRDefault="00B42681" w:rsidP="00E56547">
            <w:pPr>
              <w:pStyle w:val="ListParagraph"/>
              <w:ind w:left="0"/>
              <w:rPr>
                <w:sz w:val="24"/>
                <w:szCs w:val="24"/>
              </w:rPr>
            </w:pPr>
          </w:p>
          <w:p w14:paraId="1FC8D509" w14:textId="77777777" w:rsidR="00B42681" w:rsidRPr="00CA6572" w:rsidRDefault="00B42681" w:rsidP="00E56547">
            <w:pPr>
              <w:pStyle w:val="ListParagraph"/>
              <w:ind w:left="0"/>
              <w:rPr>
                <w:sz w:val="24"/>
                <w:szCs w:val="24"/>
              </w:rPr>
            </w:pPr>
          </w:p>
          <w:p w14:paraId="76A18D83" w14:textId="77777777" w:rsidR="00B42681" w:rsidRPr="00CA6572" w:rsidRDefault="00B42681" w:rsidP="00E56547">
            <w:pPr>
              <w:pStyle w:val="ListParagraph"/>
              <w:ind w:left="0"/>
              <w:rPr>
                <w:i/>
                <w:iCs/>
                <w:color w:val="000000"/>
              </w:rPr>
            </w:pPr>
            <w:r w:rsidRPr="00CA6572">
              <w:rPr>
                <w:color w:val="000000"/>
              </w:rPr>
              <w:t>*‘</w:t>
            </w:r>
            <w:r w:rsidRPr="00CA6572">
              <w:rPr>
                <w:i/>
                <w:iCs/>
                <w:color w:val="000000"/>
              </w:rPr>
              <w:t>Toxic’ means that reactions occur as a result of drug levels being too high;</w:t>
            </w:r>
          </w:p>
          <w:p w14:paraId="2EBED33A" w14:textId="77777777" w:rsidR="00B42681" w:rsidRPr="00CA6572" w:rsidRDefault="00B42681" w:rsidP="00E56547">
            <w:pPr>
              <w:pStyle w:val="ListParagraph"/>
              <w:ind w:left="0"/>
              <w:rPr>
                <w:i/>
                <w:iCs/>
                <w:color w:val="000000"/>
              </w:rPr>
            </w:pPr>
            <w:r w:rsidRPr="00CA6572">
              <w:rPr>
                <w:i/>
                <w:iCs/>
                <w:color w:val="000000"/>
              </w:rPr>
              <w:t>* ‘collateral’ means that reactions occur at drug levels which are in the usual therapeutic range;</w:t>
            </w:r>
          </w:p>
          <w:p w14:paraId="69BA1CA1" w14:textId="77777777" w:rsidR="00B42681" w:rsidRPr="00CA6572" w:rsidRDefault="00B42681" w:rsidP="00E56547">
            <w:pPr>
              <w:pStyle w:val="ListParagraph"/>
              <w:ind w:left="0"/>
              <w:rPr>
                <w:i/>
                <w:iCs/>
                <w:color w:val="000000"/>
              </w:rPr>
            </w:pPr>
            <w:r w:rsidRPr="00CA6572">
              <w:rPr>
                <w:i/>
                <w:iCs/>
                <w:color w:val="000000"/>
              </w:rPr>
              <w:t>* ‘hyper susceptibility’ means that reactions may occur even at very low, sub-therapeutic doses.</w:t>
            </w:r>
          </w:p>
          <w:p w14:paraId="23E92E0C" w14:textId="77777777" w:rsidR="00B42681" w:rsidRPr="00CA6572" w:rsidRDefault="00B42681" w:rsidP="00E56547">
            <w:pPr>
              <w:pStyle w:val="ListParagraph"/>
              <w:ind w:left="0"/>
              <w:rPr>
                <w:sz w:val="24"/>
                <w:szCs w:val="24"/>
              </w:rPr>
            </w:pPr>
          </w:p>
        </w:tc>
        <w:tc>
          <w:tcPr>
            <w:tcW w:w="4466" w:type="dxa"/>
          </w:tcPr>
          <w:p w14:paraId="439848DE" w14:textId="77777777" w:rsidR="00B42681" w:rsidRPr="00CA6572" w:rsidRDefault="00B42681" w:rsidP="00E56547">
            <w:pPr>
              <w:pStyle w:val="ListParagraph"/>
              <w:ind w:left="0"/>
              <w:rPr>
                <w:color w:val="000000"/>
                <w:sz w:val="24"/>
                <w:szCs w:val="24"/>
              </w:rPr>
            </w:pPr>
            <w:r w:rsidRPr="00CA6572">
              <w:rPr>
                <w:color w:val="000000"/>
                <w:sz w:val="24"/>
                <w:szCs w:val="24"/>
              </w:rPr>
              <w:lastRenderedPageBreak/>
              <w:t>Independent</w:t>
            </w:r>
          </w:p>
          <w:p w14:paraId="44304391" w14:textId="77777777" w:rsidR="00B42681" w:rsidRPr="00CA6572" w:rsidRDefault="00B42681" w:rsidP="00E56547">
            <w:pPr>
              <w:pStyle w:val="ListParagraph"/>
              <w:ind w:left="0"/>
              <w:rPr>
                <w:color w:val="000000"/>
                <w:sz w:val="24"/>
                <w:szCs w:val="24"/>
              </w:rPr>
            </w:pPr>
            <w:r w:rsidRPr="00CA6572">
              <w:rPr>
                <w:color w:val="000000"/>
                <w:sz w:val="24"/>
                <w:szCs w:val="24"/>
              </w:rPr>
              <w:t>Dependent:</w:t>
            </w:r>
          </w:p>
          <w:p w14:paraId="0A9CE021" w14:textId="77777777" w:rsidR="00B42681" w:rsidRPr="00CA6572" w:rsidRDefault="00B42681" w:rsidP="00E56547">
            <w:pPr>
              <w:pStyle w:val="ListParagraph"/>
              <w:ind w:left="0"/>
              <w:rPr>
                <w:color w:val="000000"/>
                <w:sz w:val="24"/>
                <w:szCs w:val="24"/>
              </w:rPr>
            </w:pPr>
            <w:r w:rsidRPr="00CA6572">
              <w:rPr>
                <w:color w:val="000000"/>
                <w:sz w:val="24"/>
                <w:szCs w:val="24"/>
              </w:rPr>
              <w:t>– rapid administration</w:t>
            </w:r>
          </w:p>
          <w:p w14:paraId="3F4F0C48" w14:textId="77777777" w:rsidR="00B42681" w:rsidRPr="00CA6572" w:rsidRDefault="00B42681" w:rsidP="00E56547">
            <w:pPr>
              <w:pStyle w:val="ListParagraph"/>
              <w:ind w:left="0"/>
              <w:rPr>
                <w:color w:val="000000"/>
                <w:sz w:val="24"/>
                <w:szCs w:val="24"/>
              </w:rPr>
            </w:pPr>
            <w:r w:rsidRPr="00CA6572">
              <w:rPr>
                <w:color w:val="000000"/>
                <w:sz w:val="24"/>
                <w:szCs w:val="24"/>
              </w:rPr>
              <w:t>– first dose</w:t>
            </w:r>
          </w:p>
          <w:p w14:paraId="56970C22" w14:textId="77777777" w:rsidR="00B42681" w:rsidRPr="00CA6572" w:rsidRDefault="00B42681" w:rsidP="00E56547">
            <w:pPr>
              <w:pStyle w:val="ListParagraph"/>
              <w:ind w:left="0"/>
              <w:rPr>
                <w:color w:val="000000"/>
                <w:sz w:val="24"/>
                <w:szCs w:val="24"/>
              </w:rPr>
            </w:pPr>
            <w:r w:rsidRPr="00CA6572">
              <w:rPr>
                <w:color w:val="000000"/>
                <w:sz w:val="24"/>
                <w:szCs w:val="24"/>
              </w:rPr>
              <w:t>– early, intermediate, late</w:t>
            </w:r>
          </w:p>
          <w:p w14:paraId="7BB9565B" w14:textId="77777777" w:rsidR="00B42681" w:rsidRPr="00CA6572" w:rsidRDefault="00B42681" w:rsidP="00E56547">
            <w:pPr>
              <w:pStyle w:val="ListParagraph"/>
              <w:ind w:left="0"/>
              <w:rPr>
                <w:color w:val="000000"/>
                <w:sz w:val="24"/>
                <w:szCs w:val="24"/>
              </w:rPr>
            </w:pPr>
            <w:r w:rsidRPr="00CA6572">
              <w:rPr>
                <w:color w:val="000000"/>
                <w:sz w:val="24"/>
                <w:szCs w:val="24"/>
              </w:rPr>
              <w:t>– delayed</w:t>
            </w:r>
          </w:p>
          <w:p w14:paraId="1032D161" w14:textId="77777777" w:rsidR="00B42681" w:rsidRPr="00CA6572" w:rsidRDefault="00B42681" w:rsidP="00E56547">
            <w:pPr>
              <w:pStyle w:val="ListParagraph"/>
              <w:ind w:left="0"/>
              <w:rPr>
                <w:color w:val="000000"/>
                <w:sz w:val="24"/>
                <w:szCs w:val="24"/>
              </w:rPr>
            </w:pPr>
            <w:r w:rsidRPr="00CA6572">
              <w:rPr>
                <w:color w:val="000000"/>
                <w:sz w:val="24"/>
                <w:szCs w:val="24"/>
              </w:rPr>
              <w:t>– withdrawal</w:t>
            </w:r>
          </w:p>
          <w:p w14:paraId="08973482" w14:textId="77777777" w:rsidR="00B42681" w:rsidRPr="00CA6572" w:rsidRDefault="00B42681" w:rsidP="00E56547">
            <w:pPr>
              <w:pStyle w:val="ListParagraph"/>
              <w:ind w:left="0"/>
              <w:rPr>
                <w:color w:val="000000"/>
                <w:sz w:val="24"/>
                <w:szCs w:val="24"/>
              </w:rPr>
            </w:pPr>
          </w:p>
          <w:p w14:paraId="2BC61088" w14:textId="77777777" w:rsidR="00B42681" w:rsidRPr="00CA6572" w:rsidRDefault="00B42681" w:rsidP="00E56547">
            <w:pPr>
              <w:pStyle w:val="ListParagraph"/>
              <w:ind w:left="0"/>
              <w:rPr>
                <w:color w:val="000000"/>
                <w:sz w:val="24"/>
                <w:szCs w:val="24"/>
              </w:rPr>
            </w:pPr>
          </w:p>
          <w:p w14:paraId="6874F8D0" w14:textId="77777777" w:rsidR="00B42681" w:rsidRPr="00CA6572" w:rsidRDefault="00B42681" w:rsidP="00E56547">
            <w:pPr>
              <w:pStyle w:val="ListParagraph"/>
              <w:ind w:left="0"/>
              <w:rPr>
                <w:color w:val="000000"/>
                <w:sz w:val="24"/>
                <w:szCs w:val="24"/>
              </w:rPr>
            </w:pPr>
          </w:p>
          <w:p w14:paraId="6A7A215F" w14:textId="77777777" w:rsidR="00B42681" w:rsidRPr="00CA6572" w:rsidRDefault="00B42681" w:rsidP="00E56547">
            <w:pPr>
              <w:pStyle w:val="ListParagraph"/>
              <w:ind w:left="0"/>
              <w:rPr>
                <w:i/>
                <w:iCs/>
                <w:color w:val="000000"/>
              </w:rPr>
            </w:pPr>
            <w:r w:rsidRPr="00CA6572">
              <w:rPr>
                <w:i/>
                <w:iCs/>
                <w:color w:val="000000"/>
                <w:sz w:val="24"/>
                <w:szCs w:val="24"/>
              </w:rPr>
              <w:t xml:space="preserve">* </w:t>
            </w:r>
            <w:r w:rsidRPr="00CA6572">
              <w:rPr>
                <w:i/>
                <w:iCs/>
                <w:color w:val="000000"/>
              </w:rPr>
              <w:t>The terms early, intermediate and late have not been precisely defined; the main difference between ‘late’ and ‘delayed’ reactions is that the latter may occur long after treatment is stopped (e.g. cancer, which may occur years after exposure to a causal agent).</w:t>
            </w:r>
          </w:p>
          <w:p w14:paraId="6A5F233C" w14:textId="77777777" w:rsidR="00B42681" w:rsidRPr="00CA6572" w:rsidRDefault="00B42681" w:rsidP="00E56547">
            <w:pPr>
              <w:pStyle w:val="ListParagraph"/>
              <w:ind w:left="0"/>
              <w:rPr>
                <w:sz w:val="24"/>
                <w:szCs w:val="24"/>
              </w:rPr>
            </w:pPr>
            <w:r w:rsidRPr="00CA6572">
              <w:rPr>
                <w:i/>
                <w:iCs/>
                <w:sz w:val="24"/>
                <w:szCs w:val="24"/>
              </w:rPr>
              <w:t>*</w:t>
            </w:r>
            <w:r w:rsidRPr="00CA6572">
              <w:rPr>
                <w:i/>
                <w:iCs/>
                <w:color w:val="000000"/>
                <w:sz w:val="24"/>
                <w:szCs w:val="24"/>
              </w:rPr>
              <w:t xml:space="preserve"> A withdrawal reaction means one that is specifically precipitated by stopping the drug.</w:t>
            </w:r>
          </w:p>
        </w:tc>
        <w:tc>
          <w:tcPr>
            <w:tcW w:w="1938" w:type="dxa"/>
          </w:tcPr>
          <w:p w14:paraId="5ED799F3" w14:textId="77777777" w:rsidR="00B42681" w:rsidRPr="00CA6572" w:rsidRDefault="00B42681" w:rsidP="00E56547">
            <w:pPr>
              <w:pStyle w:val="ListParagraph"/>
              <w:ind w:left="0"/>
              <w:rPr>
                <w:sz w:val="24"/>
                <w:szCs w:val="24"/>
              </w:rPr>
            </w:pPr>
            <w:r w:rsidRPr="00CA6572">
              <w:rPr>
                <w:sz w:val="24"/>
                <w:szCs w:val="24"/>
              </w:rPr>
              <w:lastRenderedPageBreak/>
              <w:t>Age</w:t>
            </w:r>
          </w:p>
          <w:p w14:paraId="1039E15D" w14:textId="77777777" w:rsidR="00B42681" w:rsidRPr="00CA6572" w:rsidRDefault="00B42681" w:rsidP="00E56547">
            <w:pPr>
              <w:pStyle w:val="ListParagraph"/>
              <w:ind w:left="0"/>
              <w:rPr>
                <w:sz w:val="24"/>
                <w:szCs w:val="24"/>
              </w:rPr>
            </w:pPr>
            <w:r w:rsidRPr="00CA6572">
              <w:rPr>
                <w:sz w:val="24"/>
                <w:szCs w:val="24"/>
              </w:rPr>
              <w:t>Gender</w:t>
            </w:r>
          </w:p>
          <w:p w14:paraId="17875759" w14:textId="77777777" w:rsidR="00B42681" w:rsidRPr="00CA6572" w:rsidRDefault="00B42681" w:rsidP="00E56547">
            <w:pPr>
              <w:pStyle w:val="ListParagraph"/>
              <w:ind w:left="0"/>
              <w:rPr>
                <w:sz w:val="24"/>
                <w:szCs w:val="24"/>
              </w:rPr>
            </w:pPr>
            <w:r w:rsidRPr="00CA6572">
              <w:rPr>
                <w:sz w:val="24"/>
                <w:szCs w:val="24"/>
              </w:rPr>
              <w:t>Ethnic Group</w:t>
            </w:r>
          </w:p>
          <w:p w14:paraId="3E2EAB67" w14:textId="77777777" w:rsidR="00B42681" w:rsidRPr="00CA6572" w:rsidRDefault="00B42681" w:rsidP="00E56547">
            <w:pPr>
              <w:pStyle w:val="ListParagraph"/>
              <w:ind w:left="0"/>
              <w:rPr>
                <w:sz w:val="24"/>
                <w:szCs w:val="24"/>
              </w:rPr>
            </w:pPr>
            <w:r w:rsidRPr="00CA6572">
              <w:rPr>
                <w:sz w:val="24"/>
                <w:szCs w:val="24"/>
              </w:rPr>
              <w:t>Genetic</w:t>
            </w:r>
          </w:p>
          <w:p w14:paraId="1F725F7E" w14:textId="77777777" w:rsidR="00B42681" w:rsidRPr="00CA6572" w:rsidRDefault="00B42681" w:rsidP="00E56547">
            <w:pPr>
              <w:pStyle w:val="ListParagraph"/>
              <w:ind w:left="0"/>
              <w:rPr>
                <w:sz w:val="24"/>
                <w:szCs w:val="24"/>
              </w:rPr>
            </w:pPr>
            <w:r w:rsidRPr="00CA6572">
              <w:rPr>
                <w:sz w:val="24"/>
                <w:szCs w:val="24"/>
              </w:rPr>
              <w:t>Disease</w:t>
            </w:r>
          </w:p>
        </w:tc>
      </w:tr>
    </w:tbl>
    <w:p w14:paraId="2AB0BD7D" w14:textId="77777777" w:rsidR="00B42681" w:rsidRPr="00CA6572" w:rsidRDefault="00B42681" w:rsidP="00B42681">
      <w:pPr>
        <w:pStyle w:val="ListParagraph"/>
        <w:ind w:left="0"/>
        <w:rPr>
          <w:sz w:val="24"/>
          <w:szCs w:val="24"/>
        </w:rPr>
      </w:pPr>
    </w:p>
    <w:p w14:paraId="266BA36A" w14:textId="664BFB1F" w:rsidR="00B42681" w:rsidRPr="00CA6572" w:rsidRDefault="00B42681" w:rsidP="00FB7076">
      <w:pPr>
        <w:pStyle w:val="ListParagraph"/>
        <w:spacing w:before="120" w:after="120" w:line="360" w:lineRule="auto"/>
        <w:ind w:left="540"/>
        <w:contextualSpacing w:val="0"/>
        <w:jc w:val="both"/>
        <w:rPr>
          <w:color w:val="000000"/>
          <w:sz w:val="24"/>
          <w:szCs w:val="24"/>
        </w:rPr>
      </w:pPr>
      <w:r w:rsidRPr="00CA6572">
        <w:rPr>
          <w:color w:val="000000"/>
          <w:sz w:val="24"/>
          <w:szCs w:val="24"/>
        </w:rPr>
        <w:t xml:space="preserve">If suitable estimates of risk are available, it may be possible to draw three-dimensional </w:t>
      </w:r>
      <w:proofErr w:type="spellStart"/>
      <w:r w:rsidRPr="00CA6572">
        <w:rPr>
          <w:color w:val="000000"/>
          <w:sz w:val="24"/>
          <w:szCs w:val="24"/>
        </w:rPr>
        <w:t>DoTS</w:t>
      </w:r>
      <w:proofErr w:type="spellEnd"/>
      <w:r w:rsidRPr="00CA6572">
        <w:rPr>
          <w:color w:val="000000"/>
          <w:sz w:val="24"/>
          <w:szCs w:val="24"/>
        </w:rPr>
        <w:t xml:space="preserve"> diagrams of the probability of an ADR occurring in sub-groups over time and as a function of dose. When this is not possible, </w:t>
      </w:r>
      <w:r w:rsidR="0096796F">
        <w:rPr>
          <w:color w:val="000000"/>
          <w:sz w:val="24"/>
          <w:szCs w:val="24"/>
        </w:rPr>
        <w:t xml:space="preserve">the </w:t>
      </w:r>
      <w:r w:rsidRPr="00CA6572">
        <w:rPr>
          <w:color w:val="000000"/>
          <w:sz w:val="24"/>
          <w:szCs w:val="24"/>
        </w:rPr>
        <w:t>qualitative classification may still be useful, as shown by the following examples:</w:t>
      </w:r>
    </w:p>
    <w:p w14:paraId="0A68D65A" w14:textId="77777777" w:rsidR="00B42681" w:rsidRPr="00CA6572" w:rsidRDefault="00B42681" w:rsidP="00B551AA">
      <w:pPr>
        <w:pStyle w:val="ListParagraph"/>
        <w:widowControl/>
        <w:numPr>
          <w:ilvl w:val="0"/>
          <w:numId w:val="27"/>
        </w:numPr>
        <w:tabs>
          <w:tab w:val="left" w:pos="270"/>
        </w:tabs>
        <w:spacing w:before="120" w:after="120" w:line="360" w:lineRule="auto"/>
        <w:ind w:left="1080" w:firstLine="0"/>
        <w:contextualSpacing w:val="0"/>
        <w:rPr>
          <w:color w:val="000000"/>
          <w:sz w:val="24"/>
          <w:szCs w:val="24"/>
        </w:rPr>
      </w:pPr>
      <w:r w:rsidRPr="00957830">
        <w:rPr>
          <w:bCs/>
          <w:i/>
          <w:iCs/>
          <w:color w:val="000000"/>
          <w:sz w:val="24"/>
          <w:szCs w:val="24"/>
        </w:rPr>
        <w:t>Osteoporosis due to corticosteroids:</w:t>
      </w:r>
      <w:r w:rsidRPr="00CA6572">
        <w:rPr>
          <w:color w:val="000000"/>
          <w:sz w:val="24"/>
          <w:szCs w:val="24"/>
        </w:rPr>
        <w:t xml:space="preserve"> </w:t>
      </w:r>
      <w:r w:rsidRPr="00CA6572">
        <w:rPr>
          <w:color w:val="000000"/>
          <w:sz w:val="24"/>
          <w:szCs w:val="24"/>
        </w:rPr>
        <w:br/>
        <w:t>This reaction occurs at therapeutic doses, usually after some months of treatment; females and older people are at the greatest risk. Hence it would be classified as:</w:t>
      </w:r>
    </w:p>
    <w:p w14:paraId="15D93F12" w14:textId="4ADBD9AD" w:rsidR="00B42681" w:rsidRPr="00FB7076" w:rsidRDefault="00B42681" w:rsidP="00FB7076">
      <w:pPr>
        <w:pStyle w:val="ListParagraph"/>
        <w:spacing w:before="120" w:after="120" w:line="360" w:lineRule="auto"/>
        <w:ind w:left="2520" w:hanging="900"/>
        <w:contextualSpacing w:val="0"/>
        <w:rPr>
          <w:color w:val="000000"/>
          <w:sz w:val="24"/>
          <w:szCs w:val="24"/>
        </w:rPr>
      </w:pPr>
      <w:r w:rsidRPr="00CA6572">
        <w:rPr>
          <w:color w:val="000000"/>
          <w:sz w:val="24"/>
          <w:szCs w:val="24"/>
        </w:rPr>
        <w:br/>
        <w:t>Dose: collateral effect</w:t>
      </w:r>
      <w:r w:rsidRPr="00CA6572">
        <w:rPr>
          <w:color w:val="000000"/>
          <w:sz w:val="24"/>
          <w:szCs w:val="24"/>
        </w:rPr>
        <w:br/>
        <w:t>Time: late</w:t>
      </w:r>
      <w:r w:rsidRPr="00CA6572">
        <w:rPr>
          <w:color w:val="000000"/>
          <w:sz w:val="24"/>
          <w:szCs w:val="24"/>
        </w:rPr>
        <w:br/>
        <w:t>Susceptibility: age, sex</w:t>
      </w:r>
    </w:p>
    <w:p w14:paraId="4A554604" w14:textId="77777777" w:rsidR="00B42681" w:rsidRPr="00CA6572" w:rsidRDefault="00B42681" w:rsidP="00B551AA">
      <w:pPr>
        <w:pStyle w:val="ListParagraph"/>
        <w:widowControl/>
        <w:numPr>
          <w:ilvl w:val="0"/>
          <w:numId w:val="27"/>
        </w:numPr>
        <w:tabs>
          <w:tab w:val="left" w:pos="270"/>
        </w:tabs>
        <w:spacing w:before="120" w:after="120" w:line="360" w:lineRule="auto"/>
        <w:ind w:left="1080" w:hanging="90"/>
        <w:contextualSpacing w:val="0"/>
        <w:rPr>
          <w:sz w:val="24"/>
          <w:szCs w:val="24"/>
        </w:rPr>
      </w:pPr>
      <w:r w:rsidRPr="00957830">
        <w:rPr>
          <w:bCs/>
          <w:i/>
          <w:iCs/>
          <w:color w:val="000000"/>
          <w:sz w:val="24"/>
          <w:szCs w:val="24"/>
        </w:rPr>
        <w:t>Anaphylaxis due to penicillin:</w:t>
      </w:r>
      <w:r w:rsidRPr="00CA6572">
        <w:rPr>
          <w:i/>
          <w:iCs/>
          <w:color w:val="000000"/>
          <w:sz w:val="24"/>
          <w:szCs w:val="24"/>
        </w:rPr>
        <w:t xml:space="preserve"> </w:t>
      </w:r>
      <w:r w:rsidRPr="00CA6572">
        <w:rPr>
          <w:color w:val="000000"/>
          <w:sz w:val="24"/>
          <w:szCs w:val="24"/>
        </w:rPr>
        <w:br/>
        <w:t>This reaction may occur with very small doses and within minutes of taking the first dose of a course, but true anaphylaxis only occurs when the drug (or a closely related agent) has been used previously. Hence it would be classified as:</w:t>
      </w:r>
    </w:p>
    <w:p w14:paraId="446BF54C" w14:textId="77777777" w:rsidR="00B42681" w:rsidRPr="00CA6572" w:rsidRDefault="00B42681" w:rsidP="00FB7076">
      <w:pPr>
        <w:pStyle w:val="ListParagraph"/>
        <w:tabs>
          <w:tab w:val="left" w:pos="270"/>
        </w:tabs>
        <w:spacing w:before="120" w:after="120" w:line="360" w:lineRule="auto"/>
        <w:ind w:left="2790" w:hanging="1170"/>
        <w:contextualSpacing w:val="0"/>
        <w:rPr>
          <w:sz w:val="24"/>
          <w:szCs w:val="24"/>
        </w:rPr>
      </w:pPr>
      <w:r w:rsidRPr="00CA6572">
        <w:rPr>
          <w:color w:val="000000"/>
          <w:sz w:val="24"/>
          <w:szCs w:val="24"/>
        </w:rPr>
        <w:br/>
        <w:t>Dose: hyper susceptibility</w:t>
      </w:r>
      <w:r w:rsidRPr="00CA6572">
        <w:rPr>
          <w:color w:val="000000"/>
          <w:sz w:val="24"/>
          <w:szCs w:val="24"/>
        </w:rPr>
        <w:br/>
        <w:t>Time: first dose</w:t>
      </w:r>
      <w:r w:rsidRPr="00CA6572">
        <w:rPr>
          <w:color w:val="000000"/>
          <w:sz w:val="24"/>
          <w:szCs w:val="24"/>
        </w:rPr>
        <w:br/>
        <w:t>Susceptibility: requires previous sensitization</w:t>
      </w:r>
    </w:p>
    <w:p w14:paraId="7CAE4962" w14:textId="40298C58" w:rsidR="00B42681" w:rsidRDefault="00B42681" w:rsidP="00FB7076">
      <w:pPr>
        <w:pStyle w:val="ListParagraph"/>
        <w:tabs>
          <w:tab w:val="left" w:pos="270"/>
        </w:tabs>
        <w:spacing w:before="120" w:after="120" w:line="360" w:lineRule="auto"/>
        <w:ind w:left="540"/>
        <w:contextualSpacing w:val="0"/>
        <w:jc w:val="both"/>
        <w:rPr>
          <w:color w:val="000000"/>
          <w:sz w:val="24"/>
          <w:szCs w:val="24"/>
        </w:rPr>
      </w:pPr>
      <w:r w:rsidRPr="00CA6572">
        <w:rPr>
          <w:color w:val="000000"/>
          <w:sz w:val="24"/>
          <w:szCs w:val="24"/>
        </w:rPr>
        <w:br/>
        <w:t xml:space="preserve">The </w:t>
      </w:r>
      <w:proofErr w:type="spellStart"/>
      <w:r w:rsidRPr="00CA6572">
        <w:rPr>
          <w:color w:val="000000"/>
          <w:sz w:val="24"/>
          <w:szCs w:val="24"/>
        </w:rPr>
        <w:t>DoTS</w:t>
      </w:r>
      <w:proofErr w:type="spellEnd"/>
      <w:r w:rsidRPr="00CA6572">
        <w:rPr>
          <w:color w:val="000000"/>
          <w:sz w:val="24"/>
          <w:szCs w:val="24"/>
        </w:rPr>
        <w:t xml:space="preserve"> approach seems to be gaining acceptance because it addresses the limitations of </w:t>
      </w:r>
      <w:r w:rsidRPr="00CA6572">
        <w:rPr>
          <w:color w:val="000000"/>
          <w:sz w:val="24"/>
          <w:szCs w:val="24"/>
        </w:rPr>
        <w:lastRenderedPageBreak/>
        <w:t>the A/B scheme into which many ADRs do not clearly fit. Furthermore, it is useful in providing pointers as to how specific ADRs may be avoided.</w:t>
      </w:r>
    </w:p>
    <w:p w14:paraId="14F9E210" w14:textId="51624E56" w:rsidR="00B31B9B" w:rsidRDefault="00B31B9B" w:rsidP="00B42681">
      <w:pPr>
        <w:pStyle w:val="ListParagraph"/>
        <w:tabs>
          <w:tab w:val="left" w:pos="270"/>
        </w:tabs>
        <w:ind w:left="0"/>
        <w:jc w:val="both"/>
        <w:rPr>
          <w:color w:val="000000"/>
          <w:sz w:val="24"/>
          <w:szCs w:val="24"/>
        </w:rPr>
      </w:pPr>
    </w:p>
    <w:p w14:paraId="436420DE" w14:textId="1F22559A" w:rsidR="00B31B9B" w:rsidRPr="00FB7076" w:rsidRDefault="00FB7076" w:rsidP="00FB7076">
      <w:pPr>
        <w:rPr>
          <w:b/>
          <w:bCs/>
          <w:sz w:val="28"/>
          <w:szCs w:val="28"/>
        </w:rPr>
      </w:pPr>
      <w:r>
        <w:rPr>
          <w:b/>
          <w:bCs/>
          <w:sz w:val="28"/>
          <w:szCs w:val="28"/>
        </w:rPr>
        <w:t xml:space="preserve">3.4 </w:t>
      </w:r>
      <w:r w:rsidR="00CD7838" w:rsidRPr="00FB7076">
        <w:rPr>
          <w:b/>
          <w:bCs/>
          <w:sz w:val="28"/>
          <w:szCs w:val="28"/>
          <w:u w:val="single"/>
        </w:rPr>
        <w:t>Categorization of AEFIs</w:t>
      </w:r>
    </w:p>
    <w:p w14:paraId="1D05DB0F" w14:textId="2F6EA947" w:rsidR="00B31B9B" w:rsidRPr="00FB7076" w:rsidRDefault="00B31B9B" w:rsidP="003E0236">
      <w:pPr>
        <w:pStyle w:val="ListParagraph"/>
        <w:tabs>
          <w:tab w:val="left" w:pos="540"/>
        </w:tabs>
        <w:spacing w:before="120" w:after="120" w:line="360" w:lineRule="auto"/>
        <w:ind w:left="540"/>
        <w:jc w:val="both"/>
        <w:rPr>
          <w:sz w:val="24"/>
          <w:szCs w:val="24"/>
        </w:rPr>
      </w:pPr>
      <w:r w:rsidRPr="00CD7838">
        <w:rPr>
          <w:sz w:val="24"/>
          <w:szCs w:val="24"/>
        </w:rPr>
        <w:t>Reported adverse events can either be true adverse events – i.e. resulting from the vaccine or immunization process – or coincidental events that are not due to the vaccine or immunization process but are temporally associated with immunization.</w:t>
      </w:r>
    </w:p>
    <w:tbl>
      <w:tblPr>
        <w:tblW w:w="819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5130"/>
      </w:tblGrid>
      <w:tr w:rsidR="00B31B9B" w:rsidRPr="00B31B9B" w14:paraId="0951ED84" w14:textId="77777777" w:rsidTr="00B06A5B">
        <w:trPr>
          <w:trHeight w:val="360"/>
        </w:trPr>
        <w:tc>
          <w:tcPr>
            <w:tcW w:w="3060" w:type="dxa"/>
          </w:tcPr>
          <w:p w14:paraId="0A1F8401" w14:textId="1FD5B5F9"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b/>
                <w:bCs/>
                <w:sz w:val="24"/>
                <w:szCs w:val="24"/>
                <w:lang w:val="en-US"/>
              </w:rPr>
            </w:pPr>
            <w:bookmarkStart w:id="12" w:name="9"/>
            <w:bookmarkStart w:id="13" w:name="9.1_Categorization_of_AEFIs"/>
            <w:bookmarkStart w:id="14" w:name="_bookmark0"/>
            <w:bookmarkEnd w:id="12"/>
            <w:bookmarkEnd w:id="13"/>
            <w:bookmarkEnd w:id="14"/>
            <w:r w:rsidRPr="00B31B9B">
              <w:rPr>
                <w:rFonts w:eastAsiaTheme="minorHAnsi"/>
                <w:b/>
                <w:bCs/>
                <w:sz w:val="24"/>
                <w:szCs w:val="24"/>
                <w:lang w:val="en-US"/>
              </w:rPr>
              <w:t>Cause-specific type of</w:t>
            </w:r>
            <w:r w:rsidR="00E24087" w:rsidRPr="00CD7838">
              <w:rPr>
                <w:rFonts w:eastAsiaTheme="minorHAnsi"/>
                <w:b/>
                <w:bCs/>
                <w:sz w:val="24"/>
                <w:szCs w:val="24"/>
                <w:lang w:val="en-US"/>
              </w:rPr>
              <w:t xml:space="preserve"> </w:t>
            </w:r>
            <w:r w:rsidRPr="00B31B9B">
              <w:rPr>
                <w:rFonts w:eastAsiaTheme="minorHAnsi"/>
                <w:b/>
                <w:bCs/>
                <w:sz w:val="24"/>
                <w:szCs w:val="24"/>
                <w:lang w:val="en-US"/>
              </w:rPr>
              <w:t>AEFI</w:t>
            </w:r>
          </w:p>
        </w:tc>
        <w:tc>
          <w:tcPr>
            <w:tcW w:w="5130" w:type="dxa"/>
          </w:tcPr>
          <w:p w14:paraId="7617C79E"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b/>
                <w:bCs/>
                <w:sz w:val="24"/>
                <w:szCs w:val="24"/>
                <w:lang w:val="en-US"/>
              </w:rPr>
            </w:pPr>
            <w:r w:rsidRPr="00B31B9B">
              <w:rPr>
                <w:rFonts w:eastAsiaTheme="minorHAnsi"/>
                <w:b/>
                <w:bCs/>
                <w:sz w:val="24"/>
                <w:szCs w:val="24"/>
                <w:lang w:val="en-US"/>
              </w:rPr>
              <w:t>Definition</w:t>
            </w:r>
          </w:p>
        </w:tc>
      </w:tr>
      <w:tr w:rsidR="00B31B9B" w:rsidRPr="00B31B9B" w14:paraId="35D60804" w14:textId="77777777" w:rsidTr="00B06A5B">
        <w:trPr>
          <w:trHeight w:val="951"/>
        </w:trPr>
        <w:tc>
          <w:tcPr>
            <w:tcW w:w="3060" w:type="dxa"/>
          </w:tcPr>
          <w:p w14:paraId="271190D6"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sz w:val="24"/>
                <w:szCs w:val="24"/>
                <w:lang w:val="en-US"/>
              </w:rPr>
            </w:pPr>
            <w:r w:rsidRPr="00B31B9B">
              <w:rPr>
                <w:rFonts w:eastAsiaTheme="minorHAnsi"/>
                <w:sz w:val="24"/>
                <w:szCs w:val="24"/>
                <w:lang w:val="en-US"/>
              </w:rPr>
              <w:t>Vaccine product-related reaction</w:t>
            </w:r>
          </w:p>
        </w:tc>
        <w:tc>
          <w:tcPr>
            <w:tcW w:w="5130" w:type="dxa"/>
          </w:tcPr>
          <w:p w14:paraId="3415727E" w14:textId="336D204F" w:rsidR="00B31B9B" w:rsidRPr="00B31B9B" w:rsidRDefault="00B31B9B" w:rsidP="00FB7076">
            <w:pPr>
              <w:widowControl/>
              <w:kinsoku w:val="0"/>
              <w:overflowPunct w:val="0"/>
              <w:autoSpaceDE w:val="0"/>
              <w:autoSpaceDN w:val="0"/>
              <w:adjustRightInd w:val="0"/>
              <w:spacing w:before="120" w:after="120" w:line="360" w:lineRule="auto"/>
              <w:ind w:left="107" w:right="248"/>
              <w:jc w:val="both"/>
              <w:rPr>
                <w:rFonts w:eastAsiaTheme="minorHAnsi"/>
                <w:sz w:val="24"/>
                <w:szCs w:val="24"/>
                <w:lang w:val="en-US"/>
              </w:rPr>
            </w:pPr>
            <w:r w:rsidRPr="00B31B9B">
              <w:rPr>
                <w:rFonts w:eastAsiaTheme="minorHAnsi"/>
                <w:sz w:val="24"/>
                <w:szCs w:val="24"/>
                <w:lang w:val="en-US"/>
              </w:rPr>
              <w:t>An AEFI that is caused or precipitated by a vaccine due to one or more of the inherent properties of the vaccine</w:t>
            </w:r>
            <w:r w:rsidR="004847FD">
              <w:rPr>
                <w:rFonts w:eastAsiaTheme="minorHAnsi"/>
                <w:sz w:val="24"/>
                <w:szCs w:val="24"/>
                <w:lang w:val="en-US"/>
              </w:rPr>
              <w:t xml:space="preserve"> </w:t>
            </w:r>
            <w:r w:rsidRPr="00B31B9B">
              <w:rPr>
                <w:rFonts w:eastAsiaTheme="minorHAnsi"/>
                <w:sz w:val="24"/>
                <w:szCs w:val="24"/>
                <w:lang w:val="en-US"/>
              </w:rPr>
              <w:t>product.</w:t>
            </w:r>
          </w:p>
        </w:tc>
      </w:tr>
      <w:tr w:rsidR="00B31B9B" w:rsidRPr="00B31B9B" w14:paraId="3D449FDD" w14:textId="77777777" w:rsidTr="00B06A5B">
        <w:trPr>
          <w:trHeight w:val="1191"/>
        </w:trPr>
        <w:tc>
          <w:tcPr>
            <w:tcW w:w="3060" w:type="dxa"/>
          </w:tcPr>
          <w:p w14:paraId="6EFE5CCA" w14:textId="77777777" w:rsidR="00B31B9B" w:rsidRPr="00B31B9B" w:rsidRDefault="00B31B9B" w:rsidP="00FB7076">
            <w:pPr>
              <w:widowControl/>
              <w:kinsoku w:val="0"/>
              <w:overflowPunct w:val="0"/>
              <w:autoSpaceDE w:val="0"/>
              <w:autoSpaceDN w:val="0"/>
              <w:adjustRightInd w:val="0"/>
              <w:spacing w:before="120" w:after="120" w:line="360" w:lineRule="auto"/>
              <w:ind w:left="107" w:right="515"/>
              <w:rPr>
                <w:rFonts w:eastAsiaTheme="minorHAnsi"/>
                <w:sz w:val="24"/>
                <w:szCs w:val="24"/>
                <w:lang w:val="en-US"/>
              </w:rPr>
            </w:pPr>
            <w:r w:rsidRPr="00B31B9B">
              <w:rPr>
                <w:rFonts w:eastAsiaTheme="minorHAnsi"/>
                <w:sz w:val="24"/>
                <w:szCs w:val="24"/>
                <w:lang w:val="en-US"/>
              </w:rPr>
              <w:t>Vaccine quality defect-related reaction</w:t>
            </w:r>
          </w:p>
        </w:tc>
        <w:tc>
          <w:tcPr>
            <w:tcW w:w="5130" w:type="dxa"/>
          </w:tcPr>
          <w:p w14:paraId="7665DFB8" w14:textId="7AC07F8A" w:rsidR="00B31B9B" w:rsidRPr="00B31B9B" w:rsidRDefault="00B31B9B" w:rsidP="00FB7076">
            <w:pPr>
              <w:widowControl/>
              <w:kinsoku w:val="0"/>
              <w:overflowPunct w:val="0"/>
              <w:autoSpaceDE w:val="0"/>
              <w:autoSpaceDN w:val="0"/>
              <w:adjustRightInd w:val="0"/>
              <w:spacing w:before="120" w:after="120" w:line="360" w:lineRule="auto"/>
              <w:ind w:left="107" w:right="228"/>
              <w:jc w:val="both"/>
              <w:rPr>
                <w:rFonts w:eastAsiaTheme="minorHAnsi"/>
                <w:sz w:val="24"/>
                <w:szCs w:val="24"/>
                <w:lang w:val="en-US"/>
              </w:rPr>
            </w:pPr>
            <w:r w:rsidRPr="00B31B9B">
              <w:rPr>
                <w:rFonts w:eastAsiaTheme="minorHAnsi"/>
                <w:sz w:val="24"/>
                <w:szCs w:val="24"/>
                <w:lang w:val="en-US"/>
              </w:rPr>
              <w:t>An AEFI that is caused or precipitated by a vaccine that is due to one or more quality defects of the vaccine product, including its administration device as</w:t>
            </w:r>
            <w:r w:rsidR="004847FD">
              <w:rPr>
                <w:rFonts w:eastAsiaTheme="minorHAnsi"/>
                <w:sz w:val="24"/>
                <w:szCs w:val="24"/>
                <w:lang w:val="en-US"/>
              </w:rPr>
              <w:t xml:space="preserve"> </w:t>
            </w:r>
            <w:r w:rsidRPr="00B31B9B">
              <w:rPr>
                <w:rFonts w:eastAsiaTheme="minorHAnsi"/>
                <w:sz w:val="24"/>
                <w:szCs w:val="24"/>
                <w:lang w:val="en-US"/>
              </w:rPr>
              <w:t>provided by the manufacturer.</w:t>
            </w:r>
          </w:p>
        </w:tc>
      </w:tr>
      <w:tr w:rsidR="00B31B9B" w:rsidRPr="00B31B9B" w14:paraId="1018783E" w14:textId="77777777" w:rsidTr="00B06A5B">
        <w:trPr>
          <w:trHeight w:val="908"/>
        </w:trPr>
        <w:tc>
          <w:tcPr>
            <w:tcW w:w="3060" w:type="dxa"/>
          </w:tcPr>
          <w:p w14:paraId="0CB5AB3E" w14:textId="77777777" w:rsidR="00B31B9B" w:rsidRPr="00B31B9B" w:rsidRDefault="00B31B9B" w:rsidP="00FB7076">
            <w:pPr>
              <w:widowControl/>
              <w:kinsoku w:val="0"/>
              <w:overflowPunct w:val="0"/>
              <w:autoSpaceDE w:val="0"/>
              <w:autoSpaceDN w:val="0"/>
              <w:adjustRightInd w:val="0"/>
              <w:spacing w:before="120" w:after="120" w:line="360" w:lineRule="auto"/>
              <w:ind w:left="107" w:right="381"/>
              <w:rPr>
                <w:rFonts w:eastAsiaTheme="minorHAnsi"/>
                <w:sz w:val="24"/>
                <w:szCs w:val="24"/>
                <w:lang w:val="en-US"/>
              </w:rPr>
            </w:pPr>
            <w:r w:rsidRPr="00B31B9B">
              <w:rPr>
                <w:rFonts w:eastAsiaTheme="minorHAnsi"/>
                <w:sz w:val="24"/>
                <w:szCs w:val="24"/>
                <w:lang w:val="en-US"/>
              </w:rPr>
              <w:t>Immunization error related reaction (formerly “</w:t>
            </w:r>
            <w:proofErr w:type="spellStart"/>
            <w:r w:rsidRPr="00B31B9B">
              <w:rPr>
                <w:rFonts w:eastAsiaTheme="minorHAnsi"/>
                <w:sz w:val="24"/>
                <w:szCs w:val="24"/>
                <w:lang w:val="en-US"/>
              </w:rPr>
              <w:t>programme</w:t>
            </w:r>
            <w:proofErr w:type="spellEnd"/>
            <w:r w:rsidRPr="00B31B9B">
              <w:rPr>
                <w:rFonts w:eastAsiaTheme="minorHAnsi"/>
                <w:sz w:val="24"/>
                <w:szCs w:val="24"/>
                <w:lang w:val="en-US"/>
              </w:rPr>
              <w:t xml:space="preserve"> error”)</w:t>
            </w:r>
          </w:p>
        </w:tc>
        <w:tc>
          <w:tcPr>
            <w:tcW w:w="5130" w:type="dxa"/>
          </w:tcPr>
          <w:p w14:paraId="307727B7" w14:textId="77777777" w:rsidR="00B31B9B" w:rsidRPr="00B31B9B" w:rsidRDefault="00B31B9B" w:rsidP="00FB7076">
            <w:pPr>
              <w:widowControl/>
              <w:kinsoku w:val="0"/>
              <w:overflowPunct w:val="0"/>
              <w:autoSpaceDE w:val="0"/>
              <w:autoSpaceDN w:val="0"/>
              <w:adjustRightInd w:val="0"/>
              <w:spacing w:before="120" w:after="120" w:line="360" w:lineRule="auto"/>
              <w:ind w:left="107" w:right="270"/>
              <w:rPr>
                <w:rFonts w:eastAsiaTheme="minorHAnsi"/>
                <w:sz w:val="24"/>
                <w:szCs w:val="24"/>
                <w:lang w:val="en-US"/>
              </w:rPr>
            </w:pPr>
            <w:r w:rsidRPr="00B31B9B">
              <w:rPr>
                <w:rFonts w:eastAsiaTheme="minorHAnsi"/>
                <w:sz w:val="24"/>
                <w:szCs w:val="24"/>
                <w:lang w:val="en-US"/>
              </w:rPr>
              <w:t>An AEFI that is caused by inappropriate vaccine handling, prescribing or administration and thus</w:t>
            </w:r>
          </w:p>
          <w:p w14:paraId="663B682D"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sz w:val="24"/>
                <w:szCs w:val="24"/>
                <w:lang w:val="en-US"/>
              </w:rPr>
            </w:pPr>
            <w:r w:rsidRPr="00B31B9B">
              <w:rPr>
                <w:rFonts w:eastAsiaTheme="minorHAnsi"/>
                <w:sz w:val="24"/>
                <w:szCs w:val="24"/>
                <w:lang w:val="en-US"/>
              </w:rPr>
              <w:t>by its nature is preventable.</w:t>
            </w:r>
          </w:p>
        </w:tc>
      </w:tr>
      <w:tr w:rsidR="00B31B9B" w:rsidRPr="00B31B9B" w14:paraId="036D0649" w14:textId="77777777" w:rsidTr="00B06A5B">
        <w:trPr>
          <w:trHeight w:val="604"/>
        </w:trPr>
        <w:tc>
          <w:tcPr>
            <w:tcW w:w="3060" w:type="dxa"/>
          </w:tcPr>
          <w:p w14:paraId="15C99999"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sz w:val="24"/>
                <w:szCs w:val="24"/>
                <w:lang w:val="en-US"/>
              </w:rPr>
            </w:pPr>
            <w:r w:rsidRPr="00B31B9B">
              <w:rPr>
                <w:rFonts w:eastAsiaTheme="minorHAnsi"/>
                <w:sz w:val="24"/>
                <w:szCs w:val="24"/>
                <w:lang w:val="en-US"/>
              </w:rPr>
              <w:t>Immunization anxiety-related</w:t>
            </w:r>
          </w:p>
          <w:p w14:paraId="72164976"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sz w:val="24"/>
                <w:szCs w:val="24"/>
                <w:lang w:val="en-US"/>
              </w:rPr>
            </w:pPr>
            <w:r w:rsidRPr="00B31B9B">
              <w:rPr>
                <w:rFonts w:eastAsiaTheme="minorHAnsi"/>
                <w:sz w:val="24"/>
                <w:szCs w:val="24"/>
                <w:lang w:val="en-US"/>
              </w:rPr>
              <w:t>reaction</w:t>
            </w:r>
          </w:p>
        </w:tc>
        <w:tc>
          <w:tcPr>
            <w:tcW w:w="5130" w:type="dxa"/>
          </w:tcPr>
          <w:p w14:paraId="5C0D2DA0"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sz w:val="24"/>
                <w:szCs w:val="24"/>
                <w:lang w:val="en-US"/>
              </w:rPr>
            </w:pPr>
            <w:r w:rsidRPr="00B31B9B">
              <w:rPr>
                <w:rFonts w:eastAsiaTheme="minorHAnsi"/>
                <w:sz w:val="24"/>
                <w:szCs w:val="24"/>
                <w:lang w:val="en-US"/>
              </w:rPr>
              <w:t>An AEFI arising from anxiety about the</w:t>
            </w:r>
          </w:p>
          <w:p w14:paraId="009C3369"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sz w:val="24"/>
                <w:szCs w:val="24"/>
                <w:lang w:val="en-US"/>
              </w:rPr>
            </w:pPr>
            <w:r w:rsidRPr="00B31B9B">
              <w:rPr>
                <w:rFonts w:eastAsiaTheme="minorHAnsi"/>
                <w:sz w:val="24"/>
                <w:szCs w:val="24"/>
                <w:lang w:val="en-US"/>
              </w:rPr>
              <w:t>immunization.</w:t>
            </w:r>
          </w:p>
        </w:tc>
      </w:tr>
      <w:tr w:rsidR="00B31B9B" w:rsidRPr="00B31B9B" w14:paraId="5087B93C" w14:textId="77777777" w:rsidTr="00B06A5B">
        <w:trPr>
          <w:trHeight w:val="1174"/>
        </w:trPr>
        <w:tc>
          <w:tcPr>
            <w:tcW w:w="3060" w:type="dxa"/>
          </w:tcPr>
          <w:p w14:paraId="0896C869" w14:textId="77777777" w:rsidR="00B31B9B" w:rsidRPr="00B31B9B" w:rsidRDefault="00B31B9B" w:rsidP="00FB7076">
            <w:pPr>
              <w:widowControl/>
              <w:kinsoku w:val="0"/>
              <w:overflowPunct w:val="0"/>
              <w:autoSpaceDE w:val="0"/>
              <w:autoSpaceDN w:val="0"/>
              <w:adjustRightInd w:val="0"/>
              <w:spacing w:before="120" w:after="120" w:line="360" w:lineRule="auto"/>
              <w:ind w:left="107"/>
              <w:rPr>
                <w:rFonts w:eastAsiaTheme="minorHAnsi"/>
                <w:sz w:val="24"/>
                <w:szCs w:val="24"/>
                <w:lang w:val="en-US"/>
              </w:rPr>
            </w:pPr>
            <w:r w:rsidRPr="00B31B9B">
              <w:rPr>
                <w:rFonts w:eastAsiaTheme="minorHAnsi"/>
                <w:sz w:val="24"/>
                <w:szCs w:val="24"/>
                <w:lang w:val="en-US"/>
              </w:rPr>
              <w:t>Coincidental event</w:t>
            </w:r>
          </w:p>
        </w:tc>
        <w:tc>
          <w:tcPr>
            <w:tcW w:w="5130" w:type="dxa"/>
          </w:tcPr>
          <w:p w14:paraId="740DCD3E" w14:textId="09FA48DA" w:rsidR="00B31B9B" w:rsidRPr="00B31B9B" w:rsidRDefault="00B31B9B" w:rsidP="00FB7076">
            <w:pPr>
              <w:widowControl/>
              <w:kinsoku w:val="0"/>
              <w:overflowPunct w:val="0"/>
              <w:autoSpaceDE w:val="0"/>
              <w:autoSpaceDN w:val="0"/>
              <w:adjustRightInd w:val="0"/>
              <w:spacing w:before="120" w:after="120" w:line="360" w:lineRule="auto"/>
              <w:ind w:left="107" w:right="96"/>
              <w:rPr>
                <w:rFonts w:eastAsiaTheme="minorHAnsi"/>
                <w:sz w:val="24"/>
                <w:szCs w:val="24"/>
                <w:lang w:val="en-US"/>
              </w:rPr>
            </w:pPr>
            <w:r w:rsidRPr="00B31B9B">
              <w:rPr>
                <w:rFonts w:eastAsiaTheme="minorHAnsi"/>
                <w:sz w:val="24"/>
                <w:szCs w:val="24"/>
                <w:lang w:val="en-US"/>
              </w:rPr>
              <w:t>An AEFI which is caused by something other than the vaccine product, immunization error or immunization anxiety, but a temporal association with</w:t>
            </w:r>
            <w:r w:rsidR="004847FD">
              <w:rPr>
                <w:rFonts w:eastAsiaTheme="minorHAnsi"/>
                <w:sz w:val="24"/>
                <w:szCs w:val="24"/>
                <w:lang w:val="en-US"/>
              </w:rPr>
              <w:t xml:space="preserve"> </w:t>
            </w:r>
            <w:r w:rsidRPr="00B31B9B">
              <w:rPr>
                <w:rFonts w:eastAsiaTheme="minorHAnsi"/>
                <w:sz w:val="24"/>
                <w:szCs w:val="24"/>
                <w:lang w:val="en-US"/>
              </w:rPr>
              <w:t>immunization exists.</w:t>
            </w:r>
          </w:p>
        </w:tc>
      </w:tr>
    </w:tbl>
    <w:p w14:paraId="69A23B7B" w14:textId="3999903F" w:rsidR="00CD7838" w:rsidRPr="00CD7838" w:rsidRDefault="004847FD" w:rsidP="0096796F">
      <w:pPr>
        <w:pStyle w:val="BodyText"/>
        <w:kinsoku w:val="0"/>
        <w:overflowPunct w:val="0"/>
        <w:spacing w:before="120" w:after="120" w:line="360" w:lineRule="auto"/>
        <w:ind w:left="540"/>
        <w:rPr>
          <w:sz w:val="24"/>
          <w:szCs w:val="24"/>
        </w:rPr>
      </w:pPr>
      <w:bookmarkStart w:id="15" w:name="9.2_AEFI_Surveillance:"/>
      <w:bookmarkStart w:id="16" w:name="_bookmark1"/>
      <w:bookmarkEnd w:id="15"/>
      <w:bookmarkEnd w:id="16"/>
      <w:r>
        <w:rPr>
          <w:sz w:val="24"/>
          <w:szCs w:val="24"/>
        </w:rPr>
        <w:t>B</w:t>
      </w:r>
      <w:r w:rsidR="00CD7838" w:rsidRPr="00CD7838">
        <w:rPr>
          <w:sz w:val="24"/>
          <w:szCs w:val="24"/>
        </w:rPr>
        <w:t>ased specifically on 1) cause and 2) seriousness and frequency, vaccine reactions may be grouped into two broad categories:</w:t>
      </w:r>
    </w:p>
    <w:p w14:paraId="0FD0D905" w14:textId="77777777" w:rsidR="00CD7838" w:rsidRPr="00CD7838" w:rsidRDefault="00CD7838" w:rsidP="00FB7076">
      <w:pPr>
        <w:pStyle w:val="BodyText"/>
        <w:kinsoku w:val="0"/>
        <w:overflowPunct w:val="0"/>
        <w:spacing w:before="120" w:after="120" w:line="360" w:lineRule="auto"/>
        <w:ind w:left="1980" w:hanging="1080"/>
        <w:rPr>
          <w:sz w:val="24"/>
          <w:szCs w:val="24"/>
        </w:rPr>
      </w:pPr>
      <w:r w:rsidRPr="00CD7838">
        <w:rPr>
          <w:sz w:val="24"/>
          <w:szCs w:val="24"/>
        </w:rPr>
        <w:lastRenderedPageBreak/>
        <w:t>1. Cause-specific vaccine reactions:</w:t>
      </w:r>
    </w:p>
    <w:p w14:paraId="5A22478B" w14:textId="77777777" w:rsidR="00CD7838" w:rsidRPr="00CD7838" w:rsidRDefault="00CD7838" w:rsidP="00B551AA">
      <w:pPr>
        <w:pStyle w:val="ListParagraph"/>
        <w:widowControl/>
        <w:numPr>
          <w:ilvl w:val="0"/>
          <w:numId w:val="30"/>
        </w:numPr>
        <w:tabs>
          <w:tab w:val="left" w:pos="1745"/>
        </w:tabs>
        <w:kinsoku w:val="0"/>
        <w:overflowPunct w:val="0"/>
        <w:autoSpaceDE w:val="0"/>
        <w:autoSpaceDN w:val="0"/>
        <w:adjustRightInd w:val="0"/>
        <w:spacing w:before="120" w:after="120" w:line="360" w:lineRule="auto"/>
        <w:ind w:left="1980" w:hanging="630"/>
        <w:contextualSpacing w:val="0"/>
        <w:rPr>
          <w:sz w:val="24"/>
          <w:szCs w:val="24"/>
        </w:rPr>
      </w:pPr>
      <w:r w:rsidRPr="00CD7838">
        <w:rPr>
          <w:sz w:val="24"/>
          <w:szCs w:val="24"/>
        </w:rPr>
        <w:t>vaccine product-related</w:t>
      </w:r>
      <w:r w:rsidRPr="00CD7838">
        <w:rPr>
          <w:spacing w:val="-2"/>
          <w:sz w:val="24"/>
          <w:szCs w:val="24"/>
        </w:rPr>
        <w:t xml:space="preserve"> </w:t>
      </w:r>
      <w:r w:rsidRPr="00CD7838">
        <w:rPr>
          <w:sz w:val="24"/>
          <w:szCs w:val="24"/>
        </w:rPr>
        <w:t>reaction;</w:t>
      </w:r>
    </w:p>
    <w:p w14:paraId="701F7835" w14:textId="77777777" w:rsidR="00CD7838" w:rsidRPr="00CD7838" w:rsidRDefault="00CD7838" w:rsidP="00B551AA">
      <w:pPr>
        <w:pStyle w:val="ListParagraph"/>
        <w:widowControl/>
        <w:numPr>
          <w:ilvl w:val="0"/>
          <w:numId w:val="30"/>
        </w:numPr>
        <w:tabs>
          <w:tab w:val="left" w:pos="1745"/>
        </w:tabs>
        <w:kinsoku w:val="0"/>
        <w:overflowPunct w:val="0"/>
        <w:autoSpaceDE w:val="0"/>
        <w:autoSpaceDN w:val="0"/>
        <w:adjustRightInd w:val="0"/>
        <w:spacing w:before="120" w:after="120" w:line="360" w:lineRule="auto"/>
        <w:ind w:left="1980" w:hanging="630"/>
        <w:contextualSpacing w:val="0"/>
        <w:rPr>
          <w:sz w:val="24"/>
          <w:szCs w:val="24"/>
        </w:rPr>
      </w:pPr>
      <w:r w:rsidRPr="00CD7838">
        <w:rPr>
          <w:sz w:val="24"/>
          <w:szCs w:val="24"/>
        </w:rPr>
        <w:t>vaccine quality defect-related</w:t>
      </w:r>
      <w:r w:rsidRPr="00CD7838">
        <w:rPr>
          <w:spacing w:val="-2"/>
          <w:sz w:val="24"/>
          <w:szCs w:val="24"/>
        </w:rPr>
        <w:t xml:space="preserve"> </w:t>
      </w:r>
      <w:r w:rsidRPr="00CD7838">
        <w:rPr>
          <w:sz w:val="24"/>
          <w:szCs w:val="24"/>
        </w:rPr>
        <w:t>reaction;</w:t>
      </w:r>
    </w:p>
    <w:p w14:paraId="02538BDC" w14:textId="77777777" w:rsidR="00CD7838" w:rsidRPr="00CD7838" w:rsidRDefault="00CD7838" w:rsidP="00FB7076">
      <w:pPr>
        <w:pStyle w:val="BodyText"/>
        <w:kinsoku w:val="0"/>
        <w:overflowPunct w:val="0"/>
        <w:spacing w:before="120" w:after="120" w:line="360" w:lineRule="auto"/>
        <w:ind w:left="1260" w:hanging="360"/>
        <w:rPr>
          <w:sz w:val="24"/>
          <w:szCs w:val="24"/>
        </w:rPr>
      </w:pPr>
      <w:r w:rsidRPr="00CD7838">
        <w:rPr>
          <w:sz w:val="24"/>
          <w:szCs w:val="24"/>
        </w:rPr>
        <w:t>2. Vaccine reactions by seriousness and frequency:</w:t>
      </w:r>
    </w:p>
    <w:p w14:paraId="45424091" w14:textId="6769FD40" w:rsidR="00B42681" w:rsidRPr="0096796F" w:rsidRDefault="00CD7838" w:rsidP="0096796F">
      <w:pPr>
        <w:pStyle w:val="ListParagraph"/>
        <w:widowControl/>
        <w:numPr>
          <w:ilvl w:val="0"/>
          <w:numId w:val="29"/>
        </w:numPr>
        <w:tabs>
          <w:tab w:val="left" w:pos="1745"/>
        </w:tabs>
        <w:kinsoku w:val="0"/>
        <w:overflowPunct w:val="0"/>
        <w:autoSpaceDE w:val="0"/>
        <w:autoSpaceDN w:val="0"/>
        <w:adjustRightInd w:val="0"/>
        <w:spacing w:before="120" w:after="120" w:line="360" w:lineRule="auto"/>
        <w:ind w:left="1620" w:hanging="360"/>
        <w:contextualSpacing w:val="0"/>
        <w:rPr>
          <w:sz w:val="24"/>
          <w:szCs w:val="24"/>
        </w:rPr>
      </w:pPr>
      <w:r w:rsidRPr="00CD7838">
        <w:rPr>
          <w:sz w:val="24"/>
          <w:szCs w:val="24"/>
        </w:rPr>
        <w:t>common or minor reactions;</w:t>
      </w:r>
    </w:p>
    <w:p w14:paraId="19B3E035" w14:textId="1AF661A0" w:rsidR="00B42681" w:rsidRPr="00FB7076" w:rsidRDefault="00B42681" w:rsidP="00FB7076">
      <w:pPr>
        <w:rPr>
          <w:b/>
          <w:bCs/>
          <w:sz w:val="28"/>
          <w:szCs w:val="28"/>
        </w:rPr>
      </w:pPr>
      <w:r w:rsidRPr="00FB7076">
        <w:rPr>
          <w:b/>
          <w:bCs/>
          <w:sz w:val="28"/>
          <w:szCs w:val="28"/>
        </w:rPr>
        <w:t xml:space="preserve"> </w:t>
      </w:r>
      <w:r w:rsidR="00FB7076">
        <w:rPr>
          <w:b/>
          <w:bCs/>
          <w:sz w:val="28"/>
          <w:szCs w:val="28"/>
        </w:rPr>
        <w:t xml:space="preserve">3.5 </w:t>
      </w:r>
      <w:r w:rsidRPr="00FB7076">
        <w:rPr>
          <w:b/>
          <w:bCs/>
          <w:sz w:val="28"/>
          <w:szCs w:val="28"/>
          <w:u w:val="single"/>
        </w:rPr>
        <w:t>Factors that Predispose Patients to ADRs</w:t>
      </w:r>
      <w:r w:rsidRPr="00FB7076">
        <w:rPr>
          <w:b/>
          <w:bCs/>
          <w:sz w:val="28"/>
          <w:szCs w:val="28"/>
        </w:rPr>
        <w:t xml:space="preserve"> </w:t>
      </w:r>
    </w:p>
    <w:p w14:paraId="24AD0974" w14:textId="77777777" w:rsidR="00B42681" w:rsidRPr="00CA6572" w:rsidRDefault="00B42681" w:rsidP="00006058">
      <w:pPr>
        <w:pStyle w:val="ListParagraph"/>
        <w:tabs>
          <w:tab w:val="left" w:pos="270"/>
        </w:tabs>
        <w:spacing w:before="120" w:after="120" w:line="360" w:lineRule="auto"/>
        <w:ind w:left="540"/>
        <w:contextualSpacing w:val="0"/>
        <w:jc w:val="both"/>
        <w:rPr>
          <w:color w:val="000000"/>
          <w:sz w:val="24"/>
          <w:szCs w:val="24"/>
        </w:rPr>
      </w:pPr>
      <w:r w:rsidRPr="00CA6572">
        <w:rPr>
          <w:color w:val="000000"/>
          <w:sz w:val="24"/>
          <w:szCs w:val="24"/>
        </w:rPr>
        <w:t>When seeking to recognize an adverse event, it is important to note that pati</w:t>
      </w:r>
      <w:r>
        <w:rPr>
          <w:color w:val="000000"/>
          <w:sz w:val="24"/>
          <w:szCs w:val="24"/>
        </w:rPr>
        <w:t>ents receiving the same drugs</w:t>
      </w:r>
      <w:r w:rsidRPr="00CA6572">
        <w:rPr>
          <w:color w:val="000000"/>
          <w:sz w:val="24"/>
          <w:szCs w:val="24"/>
        </w:rPr>
        <w:t xml:space="preserve"> or treatment regimen can respond differently based on their individual characteristics. Certain factors tend to predispose some patients to ADRs, including: </w:t>
      </w:r>
    </w:p>
    <w:p w14:paraId="1D506376" w14:textId="77777777" w:rsidR="00B42681" w:rsidRPr="00CA6572" w:rsidRDefault="00B42681" w:rsidP="00B551AA">
      <w:pPr>
        <w:pStyle w:val="ListParagraph"/>
        <w:widowControl/>
        <w:numPr>
          <w:ilvl w:val="0"/>
          <w:numId w:val="28"/>
        </w:numPr>
        <w:tabs>
          <w:tab w:val="left" w:pos="270"/>
        </w:tabs>
        <w:spacing w:before="120" w:after="120" w:line="360" w:lineRule="auto"/>
        <w:ind w:left="1440"/>
        <w:contextualSpacing w:val="0"/>
        <w:jc w:val="both"/>
        <w:rPr>
          <w:color w:val="000000"/>
          <w:sz w:val="24"/>
          <w:szCs w:val="24"/>
        </w:rPr>
      </w:pPr>
      <w:r w:rsidRPr="00FB7076">
        <w:rPr>
          <w:i/>
          <w:iCs/>
          <w:sz w:val="24"/>
          <w:szCs w:val="24"/>
        </w:rPr>
        <w:t>Age and gender:</w:t>
      </w:r>
      <w:r w:rsidRPr="00CA6572">
        <w:rPr>
          <w:color w:val="000000"/>
          <w:sz w:val="24"/>
          <w:szCs w:val="24"/>
        </w:rPr>
        <w:t xml:space="preserve"> The elderly and the very young are more susceptible to ADRs, and gender also has an effect. </w:t>
      </w:r>
      <w:r>
        <w:rPr>
          <w:color w:val="000000"/>
          <w:sz w:val="24"/>
          <w:szCs w:val="24"/>
        </w:rPr>
        <w:t>Drugs</w:t>
      </w:r>
      <w:r w:rsidRPr="00CA6572">
        <w:rPr>
          <w:color w:val="000000"/>
          <w:sz w:val="24"/>
          <w:szCs w:val="24"/>
        </w:rPr>
        <w:t xml:space="preserve"> that commonly cause problems in the elderly include hypnotics, diuretics, non-steroidal anti-inflammatory medicines, antihypertensive, psychotropic, and digoxin. All children, and particularly neonates, differ from adults in the way they respond to </w:t>
      </w:r>
      <w:r>
        <w:rPr>
          <w:color w:val="000000"/>
          <w:sz w:val="24"/>
          <w:szCs w:val="24"/>
        </w:rPr>
        <w:t>drugs</w:t>
      </w:r>
      <w:r w:rsidRPr="00CA6572">
        <w:rPr>
          <w:color w:val="000000"/>
          <w:sz w:val="24"/>
          <w:szCs w:val="24"/>
        </w:rPr>
        <w:t xml:space="preserve">. Some medicines are likely to cause problems in neonates but are generally tolerated in children. </w:t>
      </w:r>
    </w:p>
    <w:p w14:paraId="300461D0" w14:textId="77777777" w:rsidR="00B42681" w:rsidRPr="00CA6572" w:rsidRDefault="00B42681" w:rsidP="00B551AA">
      <w:pPr>
        <w:pStyle w:val="ListParagraph"/>
        <w:widowControl/>
        <w:numPr>
          <w:ilvl w:val="0"/>
          <w:numId w:val="28"/>
        </w:numPr>
        <w:tabs>
          <w:tab w:val="left" w:pos="270"/>
          <w:tab w:val="left" w:pos="1890"/>
        </w:tabs>
        <w:spacing w:before="120" w:after="120" w:line="360" w:lineRule="auto"/>
        <w:ind w:left="1440"/>
        <w:contextualSpacing w:val="0"/>
        <w:jc w:val="both"/>
        <w:rPr>
          <w:color w:val="000000"/>
          <w:sz w:val="24"/>
          <w:szCs w:val="24"/>
        </w:rPr>
      </w:pPr>
      <w:r w:rsidRPr="00FB7076">
        <w:t xml:space="preserve"> </w:t>
      </w:r>
      <w:r w:rsidRPr="00FB7076">
        <w:rPr>
          <w:i/>
          <w:iCs/>
          <w:sz w:val="24"/>
          <w:szCs w:val="24"/>
        </w:rPr>
        <w:t>Concurrent illness:</w:t>
      </w:r>
      <w:r w:rsidRPr="00CA6572">
        <w:rPr>
          <w:color w:val="000000"/>
          <w:sz w:val="24"/>
          <w:szCs w:val="24"/>
        </w:rPr>
        <w:t xml:space="preserve"> In addition to the condition being treated, the patient may also suffer from another disease, such as kidney, liver, or heart disease. Special precautions are necessary to prevent ADRs when patients have such concurrent illnesses. </w:t>
      </w:r>
    </w:p>
    <w:p w14:paraId="33292807" w14:textId="77777777" w:rsidR="00B42681" w:rsidRPr="00CA6572" w:rsidRDefault="00B42681" w:rsidP="00B551AA">
      <w:pPr>
        <w:pStyle w:val="ListParagraph"/>
        <w:widowControl/>
        <w:numPr>
          <w:ilvl w:val="0"/>
          <w:numId w:val="28"/>
        </w:numPr>
        <w:tabs>
          <w:tab w:val="left" w:pos="270"/>
        </w:tabs>
        <w:spacing w:before="120" w:after="120" w:line="360" w:lineRule="auto"/>
        <w:ind w:left="1440"/>
        <w:contextualSpacing w:val="0"/>
        <w:jc w:val="both"/>
        <w:rPr>
          <w:color w:val="000000"/>
          <w:sz w:val="24"/>
          <w:szCs w:val="24"/>
        </w:rPr>
      </w:pPr>
      <w:r w:rsidRPr="00FB7076">
        <w:rPr>
          <w:i/>
          <w:iCs/>
          <w:sz w:val="24"/>
          <w:szCs w:val="24"/>
        </w:rPr>
        <w:t>Medicine interactions</w:t>
      </w:r>
      <w:r w:rsidRPr="00FD600E">
        <w:rPr>
          <w:i/>
          <w:color w:val="000000"/>
          <w:sz w:val="24"/>
          <w:szCs w:val="24"/>
        </w:rPr>
        <w:t>:</w:t>
      </w:r>
      <w:r w:rsidRPr="00CA6572">
        <w:rPr>
          <w:color w:val="000000"/>
          <w:sz w:val="24"/>
          <w:szCs w:val="24"/>
        </w:rPr>
        <w:t xml:space="preserve"> </w:t>
      </w:r>
      <w:r>
        <w:rPr>
          <w:color w:val="000000"/>
          <w:sz w:val="24"/>
          <w:szCs w:val="24"/>
        </w:rPr>
        <w:t>Drug</w:t>
      </w:r>
      <w:r w:rsidRPr="00CA6572">
        <w:rPr>
          <w:color w:val="000000"/>
          <w:sz w:val="24"/>
          <w:szCs w:val="24"/>
        </w:rPr>
        <w:t xml:space="preserve"> interactions are among the most common causes of adverse effects. When two or more </w:t>
      </w:r>
      <w:r>
        <w:rPr>
          <w:color w:val="000000"/>
          <w:sz w:val="24"/>
          <w:szCs w:val="24"/>
        </w:rPr>
        <w:t>drugs</w:t>
      </w:r>
      <w:r w:rsidRPr="00CA6572">
        <w:rPr>
          <w:color w:val="000000"/>
          <w:sz w:val="24"/>
          <w:szCs w:val="24"/>
        </w:rPr>
        <w:t xml:space="preserve"> are administered to a patient, they may either act independently or interact with one another. The interaction may increase or decrease the effects of the </w:t>
      </w:r>
      <w:r>
        <w:rPr>
          <w:color w:val="000000"/>
          <w:sz w:val="24"/>
          <w:szCs w:val="24"/>
        </w:rPr>
        <w:t>drugs</w:t>
      </w:r>
      <w:r w:rsidRPr="00CA6572">
        <w:rPr>
          <w:color w:val="000000"/>
          <w:sz w:val="24"/>
          <w:szCs w:val="24"/>
        </w:rPr>
        <w:t xml:space="preserve"> and may cause unexpected toxicity. As newer and more potent </w:t>
      </w:r>
      <w:r>
        <w:rPr>
          <w:color w:val="000000"/>
          <w:sz w:val="24"/>
          <w:szCs w:val="24"/>
        </w:rPr>
        <w:t xml:space="preserve">drugs </w:t>
      </w:r>
      <w:r w:rsidRPr="00CA6572">
        <w:rPr>
          <w:color w:val="000000"/>
          <w:sz w:val="24"/>
          <w:szCs w:val="24"/>
        </w:rPr>
        <w:t xml:space="preserve">become available, the number of serious </w:t>
      </w:r>
      <w:r>
        <w:rPr>
          <w:color w:val="000000"/>
          <w:sz w:val="24"/>
          <w:szCs w:val="24"/>
        </w:rPr>
        <w:t>drugs</w:t>
      </w:r>
      <w:r w:rsidRPr="00CA6572">
        <w:rPr>
          <w:color w:val="000000"/>
          <w:sz w:val="24"/>
          <w:szCs w:val="24"/>
        </w:rPr>
        <w:t xml:space="preserve"> interactions is likely to increase. Interactions may occur between </w:t>
      </w:r>
      <w:r>
        <w:rPr>
          <w:color w:val="000000"/>
          <w:sz w:val="24"/>
          <w:szCs w:val="24"/>
        </w:rPr>
        <w:t>drugs</w:t>
      </w:r>
      <w:r w:rsidRPr="00CA6572">
        <w:rPr>
          <w:color w:val="000000"/>
          <w:sz w:val="24"/>
          <w:szCs w:val="24"/>
        </w:rPr>
        <w:t xml:space="preserve"> when: </w:t>
      </w:r>
    </w:p>
    <w:p w14:paraId="4CF1689D" w14:textId="77777777" w:rsidR="00B42681" w:rsidRPr="00CA6572" w:rsidRDefault="00B42681" w:rsidP="00F47DBE">
      <w:pPr>
        <w:pStyle w:val="ListParagraph"/>
        <w:tabs>
          <w:tab w:val="left" w:pos="270"/>
        </w:tabs>
        <w:spacing w:before="120" w:after="120" w:line="360" w:lineRule="auto"/>
        <w:ind w:left="2430" w:hanging="450"/>
        <w:contextualSpacing w:val="0"/>
        <w:jc w:val="both"/>
        <w:rPr>
          <w:color w:val="000000"/>
          <w:sz w:val="24"/>
          <w:szCs w:val="24"/>
        </w:rPr>
      </w:pPr>
      <w:r w:rsidRPr="00CA6572">
        <w:rPr>
          <w:color w:val="000000"/>
          <w:sz w:val="24"/>
          <w:szCs w:val="24"/>
        </w:rPr>
        <w:sym w:font="Symbol" w:char="F0B7"/>
      </w:r>
      <w:r w:rsidRPr="00CA6572">
        <w:rPr>
          <w:color w:val="000000"/>
          <w:sz w:val="24"/>
          <w:szCs w:val="24"/>
        </w:rPr>
        <w:t xml:space="preserve"> </w:t>
      </w:r>
      <w:r>
        <w:rPr>
          <w:color w:val="000000"/>
          <w:sz w:val="24"/>
          <w:szCs w:val="24"/>
        </w:rPr>
        <w:t>Drugs</w:t>
      </w:r>
      <w:r w:rsidRPr="00CA6572">
        <w:rPr>
          <w:color w:val="000000"/>
          <w:sz w:val="24"/>
          <w:szCs w:val="24"/>
        </w:rPr>
        <w:t xml:space="preserve"> compete for the same receptor or act on the same physiological system.</w:t>
      </w:r>
    </w:p>
    <w:p w14:paraId="6447213B" w14:textId="77777777" w:rsidR="00B42681" w:rsidRPr="00CA6572" w:rsidRDefault="00B42681" w:rsidP="00F47DBE">
      <w:pPr>
        <w:pStyle w:val="ListParagraph"/>
        <w:tabs>
          <w:tab w:val="left" w:pos="270"/>
        </w:tabs>
        <w:spacing w:before="120" w:after="120" w:line="360" w:lineRule="auto"/>
        <w:ind w:left="2430" w:hanging="450"/>
        <w:contextualSpacing w:val="0"/>
        <w:jc w:val="both"/>
        <w:rPr>
          <w:color w:val="000000"/>
          <w:sz w:val="24"/>
          <w:szCs w:val="24"/>
        </w:rPr>
      </w:pPr>
      <w:r w:rsidRPr="00CA6572">
        <w:rPr>
          <w:color w:val="000000"/>
          <w:sz w:val="24"/>
          <w:szCs w:val="24"/>
        </w:rPr>
        <w:sym w:font="Symbol" w:char="F0B7"/>
      </w:r>
      <w:r w:rsidRPr="00CA6572">
        <w:rPr>
          <w:color w:val="000000"/>
          <w:sz w:val="24"/>
          <w:szCs w:val="24"/>
        </w:rPr>
        <w:t xml:space="preserve"> One </w:t>
      </w:r>
      <w:r>
        <w:rPr>
          <w:color w:val="000000"/>
          <w:sz w:val="24"/>
          <w:szCs w:val="24"/>
        </w:rPr>
        <w:t>drug</w:t>
      </w:r>
      <w:r w:rsidRPr="00CA6572">
        <w:rPr>
          <w:color w:val="000000"/>
          <w:sz w:val="24"/>
          <w:szCs w:val="24"/>
        </w:rPr>
        <w:t xml:space="preserve"> alters the absorption, distribution, or elimination of another </w:t>
      </w:r>
      <w:r>
        <w:rPr>
          <w:color w:val="000000"/>
          <w:sz w:val="24"/>
          <w:szCs w:val="24"/>
        </w:rPr>
        <w:t>drug</w:t>
      </w:r>
      <w:r w:rsidRPr="00CA6572">
        <w:rPr>
          <w:color w:val="000000"/>
          <w:sz w:val="24"/>
          <w:szCs w:val="24"/>
        </w:rPr>
        <w:t xml:space="preserve"> so that the amount that reaches the site of action changes. </w:t>
      </w:r>
    </w:p>
    <w:p w14:paraId="17D2B83E" w14:textId="77777777" w:rsidR="00B42681" w:rsidRPr="00CA6572" w:rsidRDefault="00B42681" w:rsidP="00F47DBE">
      <w:pPr>
        <w:pStyle w:val="ListParagraph"/>
        <w:tabs>
          <w:tab w:val="left" w:pos="270"/>
        </w:tabs>
        <w:spacing w:before="120" w:after="120" w:line="360" w:lineRule="auto"/>
        <w:ind w:left="2430" w:hanging="450"/>
        <w:contextualSpacing w:val="0"/>
        <w:jc w:val="both"/>
        <w:rPr>
          <w:color w:val="000000"/>
          <w:sz w:val="24"/>
          <w:szCs w:val="24"/>
        </w:rPr>
      </w:pPr>
      <w:r w:rsidRPr="00CA6572">
        <w:rPr>
          <w:color w:val="000000"/>
          <w:sz w:val="24"/>
          <w:szCs w:val="24"/>
        </w:rPr>
        <w:lastRenderedPageBreak/>
        <w:sym w:font="Symbol" w:char="F0B7"/>
      </w:r>
      <w:r w:rsidRPr="00CA6572">
        <w:rPr>
          <w:color w:val="000000"/>
          <w:sz w:val="24"/>
          <w:szCs w:val="24"/>
        </w:rPr>
        <w:t xml:space="preserve"> A </w:t>
      </w:r>
      <w:r>
        <w:rPr>
          <w:color w:val="000000"/>
          <w:sz w:val="24"/>
          <w:szCs w:val="24"/>
        </w:rPr>
        <w:t>drugs</w:t>
      </w:r>
      <w:r w:rsidRPr="00CA6572">
        <w:rPr>
          <w:color w:val="000000"/>
          <w:sz w:val="24"/>
          <w:szCs w:val="24"/>
        </w:rPr>
        <w:t xml:space="preserve">-induced disease or a change in fluid or electrolyte balance (physiologic change) indirectly alters the response to another medicine. </w:t>
      </w:r>
    </w:p>
    <w:p w14:paraId="09F2D3E8" w14:textId="77777777" w:rsidR="00B42681" w:rsidRPr="00CA6572" w:rsidRDefault="00B42681" w:rsidP="00B551AA">
      <w:pPr>
        <w:pStyle w:val="ListParagraph"/>
        <w:widowControl/>
        <w:numPr>
          <w:ilvl w:val="0"/>
          <w:numId w:val="28"/>
        </w:numPr>
        <w:tabs>
          <w:tab w:val="left" w:pos="270"/>
        </w:tabs>
        <w:spacing w:before="120" w:after="120" w:line="360" w:lineRule="auto"/>
        <w:ind w:left="1440"/>
        <w:contextualSpacing w:val="0"/>
        <w:jc w:val="both"/>
        <w:rPr>
          <w:color w:val="000000"/>
          <w:sz w:val="24"/>
          <w:szCs w:val="24"/>
        </w:rPr>
      </w:pPr>
      <w:r w:rsidRPr="00FB7076">
        <w:t xml:space="preserve"> </w:t>
      </w:r>
      <w:r w:rsidRPr="00FB7076">
        <w:rPr>
          <w:i/>
          <w:iCs/>
          <w:sz w:val="24"/>
          <w:szCs w:val="24"/>
        </w:rPr>
        <w:t>Other chemical interactions:</w:t>
      </w:r>
      <w:r w:rsidRPr="00CA6572">
        <w:rPr>
          <w:color w:val="000000"/>
          <w:sz w:val="24"/>
          <w:szCs w:val="24"/>
        </w:rPr>
        <w:t xml:space="preserve"> Interactions may also involve no medicinal chemical agents, social drugs such as alcohol, traditional remedies, and certain foods. </w:t>
      </w:r>
    </w:p>
    <w:p w14:paraId="43B8134B" w14:textId="77777777" w:rsidR="00B42681" w:rsidRPr="00CA6572" w:rsidRDefault="00B42681" w:rsidP="00B551AA">
      <w:pPr>
        <w:pStyle w:val="ListParagraph"/>
        <w:widowControl/>
        <w:numPr>
          <w:ilvl w:val="0"/>
          <w:numId w:val="28"/>
        </w:numPr>
        <w:tabs>
          <w:tab w:val="left" w:pos="270"/>
        </w:tabs>
        <w:spacing w:before="120" w:after="120" w:line="360" w:lineRule="auto"/>
        <w:ind w:left="1440"/>
        <w:contextualSpacing w:val="0"/>
        <w:jc w:val="both"/>
        <w:rPr>
          <w:color w:val="000000"/>
          <w:sz w:val="24"/>
          <w:szCs w:val="24"/>
        </w:rPr>
      </w:pPr>
      <w:r w:rsidRPr="00CA6572">
        <w:rPr>
          <w:color w:val="000000"/>
          <w:sz w:val="24"/>
          <w:szCs w:val="24"/>
        </w:rPr>
        <w:t xml:space="preserve"> </w:t>
      </w:r>
      <w:r w:rsidRPr="00FB7076">
        <w:rPr>
          <w:i/>
          <w:iCs/>
          <w:sz w:val="24"/>
          <w:szCs w:val="24"/>
        </w:rPr>
        <w:t>Genetics:</w:t>
      </w:r>
      <w:r w:rsidRPr="00CA6572">
        <w:rPr>
          <w:b/>
          <w:bCs/>
          <w:color w:val="000000"/>
          <w:sz w:val="24"/>
          <w:szCs w:val="24"/>
        </w:rPr>
        <w:t xml:space="preserve"> </w:t>
      </w:r>
      <w:r w:rsidRPr="00CA6572">
        <w:rPr>
          <w:color w:val="000000"/>
          <w:sz w:val="24"/>
          <w:szCs w:val="24"/>
        </w:rPr>
        <w:t>It is well known that the genetic make-up of individual patients may predispose them to ADRs.</w:t>
      </w:r>
    </w:p>
    <w:p w14:paraId="415EBA03" w14:textId="77777777" w:rsidR="00B42681" w:rsidRDefault="00B42681" w:rsidP="00693F65"/>
    <w:p w14:paraId="1D16041F" w14:textId="14FF6F32" w:rsidR="003D52EA" w:rsidRDefault="003D52EA">
      <w:pPr>
        <w:widowControl/>
        <w:spacing w:before="120" w:after="120" w:line="360" w:lineRule="auto"/>
        <w:jc w:val="both"/>
      </w:pPr>
      <w:r>
        <w:br w:type="page"/>
      </w:r>
    </w:p>
    <w:tbl>
      <w:tblPr>
        <w:tblStyle w:val="TableGrid"/>
        <w:tblW w:w="0" w:type="auto"/>
        <w:tblLook w:val="04A0" w:firstRow="1" w:lastRow="0" w:firstColumn="1" w:lastColumn="0" w:noHBand="0" w:noVBand="1"/>
      </w:tblPr>
      <w:tblGrid>
        <w:gridCol w:w="9350"/>
      </w:tblGrid>
      <w:tr w:rsidR="003D52EA" w14:paraId="2ED5BDE2" w14:textId="77777777" w:rsidTr="003D52EA">
        <w:tc>
          <w:tcPr>
            <w:tcW w:w="9350" w:type="dxa"/>
            <w:shd w:val="clear" w:color="auto" w:fill="00B0F0"/>
          </w:tcPr>
          <w:p w14:paraId="04EA629C" w14:textId="75172EE0" w:rsidR="003D52EA" w:rsidRDefault="003D52EA" w:rsidP="003D52EA">
            <w:pPr>
              <w:jc w:val="center"/>
              <w:rPr>
                <w:b/>
                <w:bCs/>
                <w:sz w:val="32"/>
                <w:szCs w:val="28"/>
              </w:rPr>
            </w:pPr>
            <w:r w:rsidRPr="003D52EA">
              <w:rPr>
                <w:b/>
                <w:bCs/>
                <w:sz w:val="28"/>
                <w:szCs w:val="24"/>
              </w:rPr>
              <w:lastRenderedPageBreak/>
              <w:t>Chapter 4</w:t>
            </w:r>
          </w:p>
        </w:tc>
      </w:tr>
    </w:tbl>
    <w:p w14:paraId="1485A8C8" w14:textId="77777777" w:rsidR="003D52EA" w:rsidRDefault="003D52EA" w:rsidP="00693F65">
      <w:pPr>
        <w:rPr>
          <w:b/>
          <w:bCs/>
          <w:sz w:val="32"/>
          <w:szCs w:val="28"/>
        </w:rPr>
      </w:pPr>
    </w:p>
    <w:p w14:paraId="1105C651" w14:textId="17DD217C" w:rsidR="0088709E" w:rsidRDefault="00F41B54" w:rsidP="00B551AA">
      <w:pPr>
        <w:pStyle w:val="ListParagraph"/>
        <w:numPr>
          <w:ilvl w:val="0"/>
          <w:numId w:val="72"/>
        </w:numPr>
        <w:ind w:left="270" w:hanging="270"/>
        <w:jc w:val="both"/>
        <w:rPr>
          <w:b/>
          <w:bCs/>
          <w:sz w:val="28"/>
          <w:szCs w:val="28"/>
        </w:rPr>
      </w:pPr>
      <w:bookmarkStart w:id="17" w:name="_Toc110329929"/>
      <w:r w:rsidRPr="006635C4">
        <w:rPr>
          <w:rStyle w:val="Level1DRAPChar"/>
          <w:bCs/>
        </w:rPr>
        <w:t>GUIDELINES FOR REPORTING OF PHARMACOVIGILANCE DATA</w:t>
      </w:r>
      <w:bookmarkEnd w:id="17"/>
      <w:r w:rsidR="003D52EA" w:rsidRPr="006635C4">
        <w:rPr>
          <w:b/>
          <w:bCs/>
          <w:sz w:val="28"/>
          <w:szCs w:val="28"/>
        </w:rPr>
        <w:t>.</w:t>
      </w:r>
    </w:p>
    <w:p w14:paraId="195A491F" w14:textId="77777777" w:rsidR="003F6A1C" w:rsidRPr="006635C4" w:rsidRDefault="003F6A1C" w:rsidP="003F6A1C">
      <w:pPr>
        <w:pStyle w:val="ListParagraph"/>
        <w:ind w:left="270"/>
        <w:jc w:val="both"/>
        <w:rPr>
          <w:b/>
          <w:bCs/>
          <w:sz w:val="28"/>
          <w:szCs w:val="28"/>
        </w:rPr>
      </w:pPr>
    </w:p>
    <w:p w14:paraId="7757BF83" w14:textId="7509E683" w:rsidR="0088709E" w:rsidRPr="003F6A1C" w:rsidRDefault="003F6A1C" w:rsidP="0045344F">
      <w:pPr>
        <w:spacing w:after="120"/>
        <w:rPr>
          <w:b/>
          <w:bCs/>
          <w:sz w:val="28"/>
          <w:szCs w:val="28"/>
        </w:rPr>
      </w:pPr>
      <w:r w:rsidRPr="003F6A1C">
        <w:rPr>
          <w:b/>
          <w:bCs/>
          <w:sz w:val="28"/>
          <w:szCs w:val="28"/>
        </w:rPr>
        <w:t xml:space="preserve">4.1 </w:t>
      </w:r>
      <w:r w:rsidR="0002496C" w:rsidRPr="003F6A1C">
        <w:rPr>
          <w:b/>
          <w:bCs/>
          <w:sz w:val="28"/>
          <w:szCs w:val="28"/>
          <w:u w:val="single"/>
        </w:rPr>
        <w:t>Who can report?</w:t>
      </w:r>
    </w:p>
    <w:p w14:paraId="7C5B0863" w14:textId="551671E2" w:rsidR="0088709E" w:rsidRPr="00CA6572" w:rsidRDefault="0088709E" w:rsidP="007955DF">
      <w:pPr>
        <w:pStyle w:val="ListParagraph"/>
        <w:tabs>
          <w:tab w:val="left" w:pos="540"/>
        </w:tabs>
        <w:spacing w:before="120" w:after="120" w:line="360" w:lineRule="auto"/>
        <w:ind w:left="540"/>
        <w:contextualSpacing w:val="0"/>
        <w:jc w:val="both"/>
        <w:rPr>
          <w:bCs/>
          <w:sz w:val="24"/>
          <w:szCs w:val="24"/>
        </w:rPr>
      </w:pPr>
      <w:r w:rsidRPr="00CA6572">
        <w:rPr>
          <w:bCs/>
          <w:sz w:val="24"/>
          <w:szCs w:val="24"/>
        </w:rPr>
        <w:t>Spontaneous reports can be directly submitted to the NPC by the following:</w:t>
      </w:r>
    </w:p>
    <w:p w14:paraId="4B5DAB49" w14:textId="35C6B268" w:rsidR="0088709E" w:rsidRPr="00CA6572" w:rsidRDefault="0088709E" w:rsidP="00B551AA">
      <w:pPr>
        <w:pStyle w:val="ListParagraph"/>
        <w:widowControl/>
        <w:numPr>
          <w:ilvl w:val="0"/>
          <w:numId w:val="39"/>
        </w:numPr>
        <w:tabs>
          <w:tab w:val="left" w:pos="270"/>
        </w:tabs>
        <w:spacing w:before="120" w:after="120" w:line="360" w:lineRule="auto"/>
        <w:ind w:left="1440" w:hanging="180"/>
        <w:contextualSpacing w:val="0"/>
        <w:jc w:val="both"/>
        <w:rPr>
          <w:sz w:val="24"/>
          <w:szCs w:val="24"/>
        </w:rPr>
      </w:pPr>
      <w:r w:rsidRPr="002C35D1">
        <w:rPr>
          <w:i/>
          <w:iCs/>
          <w:sz w:val="24"/>
          <w:szCs w:val="24"/>
        </w:rPr>
        <w:t>Healthcare professionals</w:t>
      </w:r>
      <w:r w:rsidRPr="00CA6572">
        <w:rPr>
          <w:sz w:val="24"/>
          <w:szCs w:val="24"/>
        </w:rPr>
        <w:t xml:space="preserve"> (physicians</w:t>
      </w:r>
      <w:r>
        <w:rPr>
          <w:sz w:val="24"/>
          <w:szCs w:val="24"/>
        </w:rPr>
        <w:t xml:space="preserve"> or doctors</w:t>
      </w:r>
      <w:r w:rsidRPr="00CA6572">
        <w:rPr>
          <w:sz w:val="24"/>
          <w:szCs w:val="24"/>
        </w:rPr>
        <w:t>, dentist</w:t>
      </w:r>
      <w:r w:rsidR="00E05B63">
        <w:rPr>
          <w:sz w:val="24"/>
          <w:szCs w:val="24"/>
        </w:rPr>
        <w:t>s</w:t>
      </w:r>
      <w:r w:rsidRPr="00CA6572">
        <w:rPr>
          <w:sz w:val="24"/>
          <w:szCs w:val="24"/>
        </w:rPr>
        <w:t>, pharmacist</w:t>
      </w:r>
      <w:r w:rsidR="00E05B63">
        <w:rPr>
          <w:sz w:val="24"/>
          <w:szCs w:val="24"/>
        </w:rPr>
        <w:t>s</w:t>
      </w:r>
      <w:r w:rsidRPr="00CA6572">
        <w:rPr>
          <w:sz w:val="24"/>
          <w:szCs w:val="24"/>
        </w:rPr>
        <w:t>, nurses and physiotherapist</w:t>
      </w:r>
      <w:r w:rsidR="00E05B63">
        <w:rPr>
          <w:sz w:val="24"/>
          <w:szCs w:val="24"/>
        </w:rPr>
        <w:t>s</w:t>
      </w:r>
      <w:r w:rsidRPr="00CA6572">
        <w:rPr>
          <w:sz w:val="24"/>
          <w:szCs w:val="24"/>
        </w:rPr>
        <w:t>);</w:t>
      </w:r>
    </w:p>
    <w:p w14:paraId="6380E9F5" w14:textId="286DCF90" w:rsidR="0088709E" w:rsidRPr="00CA6572" w:rsidRDefault="0088709E" w:rsidP="00B551AA">
      <w:pPr>
        <w:pStyle w:val="ListParagraph"/>
        <w:widowControl/>
        <w:numPr>
          <w:ilvl w:val="0"/>
          <w:numId w:val="39"/>
        </w:numPr>
        <w:tabs>
          <w:tab w:val="left" w:pos="270"/>
        </w:tabs>
        <w:spacing w:before="120" w:after="120" w:line="360" w:lineRule="auto"/>
        <w:ind w:left="1440" w:hanging="180"/>
        <w:contextualSpacing w:val="0"/>
        <w:jc w:val="both"/>
        <w:rPr>
          <w:bCs/>
          <w:sz w:val="24"/>
          <w:szCs w:val="24"/>
        </w:rPr>
      </w:pPr>
      <w:r w:rsidRPr="002C35D1">
        <w:rPr>
          <w:i/>
          <w:iCs/>
          <w:sz w:val="24"/>
          <w:szCs w:val="24"/>
        </w:rPr>
        <w:t>Patient</w:t>
      </w:r>
      <w:r w:rsidR="00E05B63">
        <w:rPr>
          <w:i/>
          <w:iCs/>
          <w:sz w:val="24"/>
          <w:szCs w:val="24"/>
        </w:rPr>
        <w:t>s</w:t>
      </w:r>
      <w:r w:rsidRPr="002C35D1">
        <w:rPr>
          <w:i/>
          <w:iCs/>
          <w:sz w:val="24"/>
          <w:szCs w:val="24"/>
        </w:rPr>
        <w:t xml:space="preserve"> and consumer</w:t>
      </w:r>
      <w:r w:rsidR="00E05B63">
        <w:rPr>
          <w:i/>
          <w:iCs/>
          <w:sz w:val="24"/>
          <w:szCs w:val="24"/>
        </w:rPr>
        <w:t>s</w:t>
      </w:r>
      <w:r w:rsidRPr="00CA6572">
        <w:rPr>
          <w:sz w:val="24"/>
          <w:szCs w:val="24"/>
        </w:rPr>
        <w:t xml:space="preserve"> of the therapeutic good or relative</w:t>
      </w:r>
      <w:r w:rsidR="00E05B63">
        <w:rPr>
          <w:sz w:val="24"/>
          <w:szCs w:val="24"/>
        </w:rPr>
        <w:t>s</w:t>
      </w:r>
      <w:r w:rsidRPr="00CA6572">
        <w:rPr>
          <w:sz w:val="24"/>
          <w:szCs w:val="24"/>
        </w:rPr>
        <w:t xml:space="preserve"> of the patient;</w:t>
      </w:r>
    </w:p>
    <w:p w14:paraId="639C3F0F" w14:textId="77E634EE" w:rsidR="0088709E" w:rsidRPr="00CA6572" w:rsidRDefault="0088709E" w:rsidP="007955DF">
      <w:pPr>
        <w:tabs>
          <w:tab w:val="left" w:pos="540"/>
        </w:tabs>
        <w:spacing w:before="120" w:after="120" w:line="360" w:lineRule="auto"/>
        <w:ind w:left="540"/>
        <w:jc w:val="both"/>
        <w:rPr>
          <w:bCs/>
          <w:sz w:val="24"/>
          <w:szCs w:val="24"/>
        </w:rPr>
      </w:pPr>
      <w:r w:rsidRPr="00CA6572">
        <w:rPr>
          <w:bCs/>
          <w:sz w:val="24"/>
          <w:szCs w:val="24"/>
        </w:rPr>
        <w:t xml:space="preserve">Whereas, the following </w:t>
      </w:r>
      <w:r w:rsidR="00E05B63">
        <w:rPr>
          <w:bCs/>
          <w:sz w:val="24"/>
          <w:szCs w:val="24"/>
        </w:rPr>
        <w:t>stakeholders</w:t>
      </w:r>
      <w:r w:rsidRPr="00CA6572">
        <w:rPr>
          <w:bCs/>
          <w:sz w:val="24"/>
          <w:szCs w:val="24"/>
        </w:rPr>
        <w:t xml:space="preserve"> of the pharmacovigilance programme of Pakistan also collect spontaneous reports from patients and healthcare professionals and accordingly submit these reports to NPC</w:t>
      </w:r>
      <w:r w:rsidR="00E05B63">
        <w:rPr>
          <w:bCs/>
          <w:sz w:val="24"/>
          <w:szCs w:val="24"/>
        </w:rPr>
        <w:t>, DRAP</w:t>
      </w:r>
      <w:r w:rsidRPr="00CA6572">
        <w:rPr>
          <w:bCs/>
          <w:sz w:val="24"/>
          <w:szCs w:val="24"/>
        </w:rPr>
        <w:t>:</w:t>
      </w:r>
    </w:p>
    <w:p w14:paraId="7C2C013B" w14:textId="72FBD99E" w:rsidR="0088709E" w:rsidRPr="002C35D1" w:rsidRDefault="0088709E" w:rsidP="00B551AA">
      <w:pPr>
        <w:pStyle w:val="ListParagraph"/>
        <w:widowControl/>
        <w:numPr>
          <w:ilvl w:val="0"/>
          <w:numId w:val="40"/>
        </w:numPr>
        <w:tabs>
          <w:tab w:val="left" w:pos="1260"/>
        </w:tabs>
        <w:spacing w:before="120" w:after="120" w:line="360" w:lineRule="auto"/>
        <w:ind w:left="1440" w:hanging="180"/>
        <w:contextualSpacing w:val="0"/>
        <w:jc w:val="both"/>
        <w:rPr>
          <w:bCs/>
          <w:i/>
          <w:iCs/>
          <w:sz w:val="24"/>
          <w:szCs w:val="24"/>
        </w:rPr>
      </w:pPr>
      <w:r w:rsidRPr="002C35D1">
        <w:rPr>
          <w:i/>
          <w:iCs/>
          <w:sz w:val="24"/>
          <w:szCs w:val="24"/>
        </w:rPr>
        <w:t>Registration holder</w:t>
      </w:r>
      <w:r w:rsidR="00501EAA">
        <w:rPr>
          <w:i/>
          <w:iCs/>
          <w:sz w:val="24"/>
          <w:szCs w:val="24"/>
        </w:rPr>
        <w:t>s</w:t>
      </w:r>
      <w:r w:rsidRPr="002C35D1">
        <w:rPr>
          <w:i/>
          <w:iCs/>
          <w:sz w:val="24"/>
          <w:szCs w:val="24"/>
        </w:rPr>
        <w:t>;</w:t>
      </w:r>
    </w:p>
    <w:p w14:paraId="3F382C05" w14:textId="54BEED7A" w:rsidR="0088709E" w:rsidRPr="002C35D1" w:rsidRDefault="0088709E" w:rsidP="00B551AA">
      <w:pPr>
        <w:pStyle w:val="ListParagraph"/>
        <w:widowControl/>
        <w:numPr>
          <w:ilvl w:val="0"/>
          <w:numId w:val="40"/>
        </w:numPr>
        <w:tabs>
          <w:tab w:val="left" w:pos="1260"/>
        </w:tabs>
        <w:spacing w:before="120" w:after="120" w:line="360" w:lineRule="auto"/>
        <w:ind w:left="1440" w:hanging="180"/>
        <w:contextualSpacing w:val="0"/>
        <w:jc w:val="both"/>
        <w:rPr>
          <w:bCs/>
          <w:i/>
          <w:iCs/>
          <w:sz w:val="24"/>
          <w:szCs w:val="24"/>
        </w:rPr>
      </w:pPr>
      <w:r w:rsidRPr="002C35D1">
        <w:rPr>
          <w:i/>
          <w:iCs/>
          <w:sz w:val="24"/>
          <w:szCs w:val="24"/>
        </w:rPr>
        <w:t>Provincial Pharmacovigilance Cent (PPCs</w:t>
      </w:r>
      <w:proofErr w:type="gramStart"/>
      <w:r w:rsidRPr="002C35D1">
        <w:rPr>
          <w:i/>
          <w:iCs/>
          <w:sz w:val="24"/>
          <w:szCs w:val="24"/>
        </w:rPr>
        <w:t>) ;</w:t>
      </w:r>
      <w:proofErr w:type="gramEnd"/>
    </w:p>
    <w:p w14:paraId="68FD91C2" w14:textId="77777777" w:rsidR="0088709E" w:rsidRPr="002C35D1" w:rsidRDefault="0088709E" w:rsidP="00B551AA">
      <w:pPr>
        <w:pStyle w:val="ListParagraph"/>
        <w:widowControl/>
        <w:numPr>
          <w:ilvl w:val="0"/>
          <w:numId w:val="40"/>
        </w:numPr>
        <w:tabs>
          <w:tab w:val="left" w:pos="1260"/>
        </w:tabs>
        <w:spacing w:before="120" w:after="120" w:line="360" w:lineRule="auto"/>
        <w:ind w:left="1440" w:hanging="180"/>
        <w:contextualSpacing w:val="0"/>
        <w:jc w:val="both"/>
        <w:rPr>
          <w:bCs/>
          <w:i/>
          <w:iCs/>
          <w:sz w:val="24"/>
          <w:szCs w:val="24"/>
        </w:rPr>
      </w:pPr>
      <w:r w:rsidRPr="002C35D1">
        <w:rPr>
          <w:i/>
          <w:iCs/>
          <w:sz w:val="24"/>
          <w:szCs w:val="24"/>
        </w:rPr>
        <w:t>Public health Programmes;</w:t>
      </w:r>
    </w:p>
    <w:p w14:paraId="2A7530BB" w14:textId="2EE1CA61" w:rsidR="0088709E" w:rsidRPr="003F6A1C" w:rsidRDefault="0088709E" w:rsidP="007955DF">
      <w:pPr>
        <w:spacing w:before="120" w:after="120" w:line="360" w:lineRule="auto"/>
        <w:ind w:left="540"/>
        <w:jc w:val="both"/>
        <w:rPr>
          <w:bCs/>
          <w:sz w:val="24"/>
          <w:szCs w:val="24"/>
        </w:rPr>
      </w:pPr>
      <w:r w:rsidRPr="002C35D1">
        <w:rPr>
          <w:bCs/>
          <w:i/>
          <w:iCs/>
          <w:sz w:val="24"/>
          <w:szCs w:val="24"/>
        </w:rPr>
        <w:t>Hospitals and therapeutic goods sale points (</w:t>
      </w:r>
      <w:r w:rsidRPr="00CA6572">
        <w:rPr>
          <w:bCs/>
          <w:sz w:val="24"/>
          <w:szCs w:val="24"/>
        </w:rPr>
        <w:t>distributors, wholesaler</w:t>
      </w:r>
      <w:r w:rsidR="00E05B63">
        <w:rPr>
          <w:bCs/>
          <w:sz w:val="24"/>
          <w:szCs w:val="24"/>
        </w:rPr>
        <w:t>s</w:t>
      </w:r>
      <w:r w:rsidRPr="00CA6572">
        <w:rPr>
          <w:bCs/>
          <w:sz w:val="24"/>
          <w:szCs w:val="24"/>
        </w:rPr>
        <w:t xml:space="preserve"> and retailer</w:t>
      </w:r>
      <w:r w:rsidR="00E05B63">
        <w:rPr>
          <w:bCs/>
          <w:sz w:val="24"/>
          <w:szCs w:val="24"/>
        </w:rPr>
        <w:t>s</w:t>
      </w:r>
      <w:r w:rsidRPr="00CA6572">
        <w:rPr>
          <w:bCs/>
          <w:sz w:val="24"/>
          <w:szCs w:val="24"/>
        </w:rPr>
        <w:t xml:space="preserve">) report the suspected ADR to </w:t>
      </w:r>
      <w:r w:rsidR="00E05B63">
        <w:rPr>
          <w:bCs/>
          <w:sz w:val="24"/>
          <w:szCs w:val="24"/>
        </w:rPr>
        <w:t xml:space="preserve">the </w:t>
      </w:r>
      <w:r w:rsidRPr="00CA6572">
        <w:rPr>
          <w:bCs/>
          <w:sz w:val="24"/>
          <w:szCs w:val="24"/>
        </w:rPr>
        <w:t>respective PPC, which after assessment submit</w:t>
      </w:r>
      <w:r w:rsidR="00E05B63">
        <w:rPr>
          <w:bCs/>
          <w:sz w:val="24"/>
          <w:szCs w:val="24"/>
        </w:rPr>
        <w:t>s</w:t>
      </w:r>
      <w:r w:rsidRPr="00CA6572">
        <w:rPr>
          <w:bCs/>
          <w:sz w:val="24"/>
          <w:szCs w:val="24"/>
        </w:rPr>
        <w:t xml:space="preserve"> the report to NPC</w:t>
      </w:r>
      <w:r>
        <w:rPr>
          <w:bCs/>
          <w:sz w:val="24"/>
          <w:szCs w:val="24"/>
        </w:rPr>
        <w:t>.</w:t>
      </w:r>
    </w:p>
    <w:p w14:paraId="665266E7" w14:textId="29207BD3" w:rsidR="0088709E" w:rsidRPr="00347F65" w:rsidRDefault="00347F65" w:rsidP="009E07F7">
      <w:pPr>
        <w:spacing w:after="120" w:line="360" w:lineRule="auto"/>
        <w:rPr>
          <w:sz w:val="28"/>
          <w:szCs w:val="28"/>
        </w:rPr>
      </w:pPr>
      <w:bookmarkStart w:id="18" w:name="_Toc99710081"/>
      <w:r w:rsidRPr="009E07F7">
        <w:rPr>
          <w:b/>
          <w:bCs/>
          <w:sz w:val="28"/>
          <w:szCs w:val="28"/>
        </w:rPr>
        <w:t>4.2</w:t>
      </w:r>
      <w:r w:rsidRPr="00347F65">
        <w:rPr>
          <w:sz w:val="28"/>
          <w:szCs w:val="28"/>
        </w:rPr>
        <w:t xml:space="preserve"> </w:t>
      </w:r>
      <w:r w:rsidR="0088709E" w:rsidRPr="00347F65">
        <w:rPr>
          <w:b/>
          <w:bCs/>
          <w:sz w:val="28"/>
          <w:szCs w:val="28"/>
          <w:u w:val="single"/>
        </w:rPr>
        <w:t>What to report</w:t>
      </w:r>
      <w:bookmarkEnd w:id="18"/>
      <w:r w:rsidR="0002496C" w:rsidRPr="00347F65">
        <w:rPr>
          <w:b/>
          <w:bCs/>
          <w:sz w:val="28"/>
          <w:szCs w:val="28"/>
          <w:u w:val="single"/>
        </w:rPr>
        <w:t>?</w:t>
      </w:r>
    </w:p>
    <w:p w14:paraId="12CB5B06" w14:textId="613F225F" w:rsidR="0088709E" w:rsidRPr="009E07F7" w:rsidRDefault="009E07F7" w:rsidP="009E07F7">
      <w:pPr>
        <w:spacing w:after="120" w:line="360" w:lineRule="auto"/>
        <w:rPr>
          <w:i/>
          <w:iCs/>
          <w:sz w:val="24"/>
          <w:szCs w:val="24"/>
        </w:rPr>
      </w:pPr>
      <w:r w:rsidRPr="009E07F7">
        <w:rPr>
          <w:i/>
          <w:iCs/>
          <w:sz w:val="24"/>
          <w:szCs w:val="24"/>
        </w:rPr>
        <w:t xml:space="preserve">4.2.1 </w:t>
      </w:r>
      <w:r w:rsidR="0088709E" w:rsidRPr="009E07F7">
        <w:rPr>
          <w:i/>
          <w:iCs/>
          <w:sz w:val="24"/>
          <w:szCs w:val="24"/>
        </w:rPr>
        <w:t>Types of Reports.</w:t>
      </w:r>
    </w:p>
    <w:p w14:paraId="1E6FBB17" w14:textId="271DC082" w:rsidR="0088709E" w:rsidRPr="00814494" w:rsidRDefault="00347F65" w:rsidP="009E07F7">
      <w:pPr>
        <w:tabs>
          <w:tab w:val="left" w:pos="900"/>
          <w:tab w:val="left" w:pos="990"/>
        </w:tabs>
        <w:spacing w:after="120" w:line="360" w:lineRule="auto"/>
        <w:ind w:left="540"/>
        <w:rPr>
          <w:sz w:val="28"/>
          <w:szCs w:val="28"/>
        </w:rPr>
      </w:pPr>
      <w:r w:rsidRPr="00814494">
        <w:rPr>
          <w:sz w:val="24"/>
          <w:szCs w:val="24"/>
        </w:rPr>
        <w:t xml:space="preserve">The </w:t>
      </w:r>
      <w:r w:rsidR="0088709E" w:rsidRPr="00814494">
        <w:rPr>
          <w:sz w:val="24"/>
          <w:szCs w:val="24"/>
        </w:rPr>
        <w:t>following type</w:t>
      </w:r>
      <w:r>
        <w:rPr>
          <w:sz w:val="24"/>
          <w:szCs w:val="24"/>
        </w:rPr>
        <w:t>s</w:t>
      </w:r>
      <w:r w:rsidR="0088709E" w:rsidRPr="00814494">
        <w:rPr>
          <w:sz w:val="24"/>
          <w:szCs w:val="24"/>
        </w:rPr>
        <w:t xml:space="preserve"> of reports</w:t>
      </w:r>
      <w:r>
        <w:rPr>
          <w:sz w:val="24"/>
          <w:szCs w:val="24"/>
        </w:rPr>
        <w:t xml:space="preserve"> are accepted at NPC</w:t>
      </w:r>
      <w:r w:rsidR="0088709E" w:rsidRPr="00814494">
        <w:rPr>
          <w:sz w:val="24"/>
          <w:szCs w:val="24"/>
        </w:rPr>
        <w:t>:</w:t>
      </w:r>
    </w:p>
    <w:p w14:paraId="282EA538" w14:textId="77777777" w:rsidR="00347F65" w:rsidRPr="006A6011" w:rsidRDefault="00347F65" w:rsidP="00581A02">
      <w:pPr>
        <w:pStyle w:val="ListParagraph"/>
        <w:numPr>
          <w:ilvl w:val="2"/>
          <w:numId w:val="2"/>
        </w:numPr>
        <w:spacing w:after="120" w:line="360" w:lineRule="auto"/>
        <w:ind w:left="1714" w:hanging="274"/>
        <w:contextualSpacing w:val="0"/>
        <w:jc w:val="both"/>
        <w:rPr>
          <w:sz w:val="28"/>
          <w:szCs w:val="28"/>
        </w:rPr>
      </w:pPr>
      <w:bookmarkStart w:id="19" w:name="_Toc93069567"/>
      <w:bookmarkStart w:id="20" w:name="_Toc99534836"/>
      <w:r w:rsidRPr="006A6011">
        <w:rPr>
          <w:sz w:val="24"/>
          <w:szCs w:val="24"/>
        </w:rPr>
        <w:t>Known or unknown serious spontaneous suspected ADRs or AEs reports with therapeutic goods;</w:t>
      </w:r>
    </w:p>
    <w:p w14:paraId="20852718" w14:textId="77777777" w:rsidR="00347F65" w:rsidRPr="006A6011" w:rsidRDefault="00347F65" w:rsidP="00581A02">
      <w:pPr>
        <w:pStyle w:val="ListParagraph"/>
        <w:numPr>
          <w:ilvl w:val="2"/>
          <w:numId w:val="2"/>
        </w:numPr>
        <w:spacing w:after="120" w:line="360" w:lineRule="auto"/>
        <w:ind w:left="1714" w:hanging="274"/>
        <w:contextualSpacing w:val="0"/>
        <w:jc w:val="both"/>
        <w:rPr>
          <w:sz w:val="24"/>
          <w:szCs w:val="24"/>
        </w:rPr>
      </w:pPr>
      <w:r w:rsidRPr="006A6011">
        <w:rPr>
          <w:sz w:val="24"/>
          <w:szCs w:val="24"/>
        </w:rPr>
        <w:t>Known or unknown non-serious spontaneous suspected ADRs or AEs reports</w:t>
      </w:r>
      <w:r>
        <w:rPr>
          <w:sz w:val="24"/>
          <w:szCs w:val="24"/>
        </w:rPr>
        <w:t xml:space="preserve"> </w:t>
      </w:r>
      <w:r w:rsidRPr="006A6011">
        <w:rPr>
          <w:sz w:val="24"/>
          <w:szCs w:val="24"/>
        </w:rPr>
        <w:t>with therapeutic goods;</w:t>
      </w:r>
    </w:p>
    <w:p w14:paraId="2F397DB7" w14:textId="77777777" w:rsidR="00347F65" w:rsidRPr="006A6011" w:rsidRDefault="00347F65" w:rsidP="00581A02">
      <w:pPr>
        <w:pStyle w:val="ListParagraph"/>
        <w:numPr>
          <w:ilvl w:val="2"/>
          <w:numId w:val="2"/>
        </w:numPr>
        <w:spacing w:after="120" w:line="360" w:lineRule="auto"/>
        <w:ind w:left="1714" w:hanging="274"/>
        <w:contextualSpacing w:val="0"/>
        <w:jc w:val="both"/>
        <w:rPr>
          <w:sz w:val="24"/>
          <w:szCs w:val="24"/>
        </w:rPr>
      </w:pPr>
      <w:r w:rsidRPr="006A6011">
        <w:rPr>
          <w:sz w:val="24"/>
          <w:szCs w:val="24"/>
        </w:rPr>
        <w:t>AEFIs report with vaccines;</w:t>
      </w:r>
    </w:p>
    <w:p w14:paraId="4B989F96" w14:textId="77777777" w:rsidR="00347F65" w:rsidRPr="006A6011" w:rsidRDefault="00347F65" w:rsidP="00581A02">
      <w:pPr>
        <w:pStyle w:val="ListParagraph"/>
        <w:numPr>
          <w:ilvl w:val="2"/>
          <w:numId w:val="2"/>
        </w:numPr>
        <w:spacing w:after="120" w:line="360" w:lineRule="auto"/>
        <w:ind w:left="1714" w:hanging="274"/>
        <w:contextualSpacing w:val="0"/>
        <w:jc w:val="both"/>
        <w:rPr>
          <w:sz w:val="24"/>
          <w:szCs w:val="24"/>
        </w:rPr>
      </w:pPr>
      <w:r w:rsidRPr="006A6011">
        <w:rPr>
          <w:sz w:val="24"/>
          <w:szCs w:val="24"/>
        </w:rPr>
        <w:t xml:space="preserve">Reports of lack of therapeutic efficacy in the case of vaccines, contraceptives, antibiotics, and medicines used in critical conditions or life-threatening conditions; </w:t>
      </w:r>
    </w:p>
    <w:p w14:paraId="392F099F" w14:textId="77777777" w:rsidR="00347F65" w:rsidRPr="006A6011" w:rsidRDefault="00347F65" w:rsidP="00FA5369">
      <w:pPr>
        <w:pStyle w:val="ListParagraph"/>
        <w:numPr>
          <w:ilvl w:val="2"/>
          <w:numId w:val="2"/>
        </w:numPr>
        <w:spacing w:after="120" w:line="360" w:lineRule="auto"/>
        <w:ind w:left="1714" w:hanging="274"/>
        <w:contextualSpacing w:val="0"/>
        <w:jc w:val="both"/>
        <w:rPr>
          <w:sz w:val="24"/>
          <w:szCs w:val="24"/>
        </w:rPr>
      </w:pPr>
      <w:r w:rsidRPr="006A6011">
        <w:rPr>
          <w:sz w:val="24"/>
          <w:szCs w:val="24"/>
        </w:rPr>
        <w:lastRenderedPageBreak/>
        <w:t>AEs with quality problems; and</w:t>
      </w:r>
    </w:p>
    <w:p w14:paraId="5C90E137" w14:textId="77777777" w:rsidR="00347F65" w:rsidRPr="006A6011" w:rsidRDefault="00347F65" w:rsidP="00FA5369">
      <w:pPr>
        <w:pStyle w:val="ListParagraph"/>
        <w:numPr>
          <w:ilvl w:val="2"/>
          <w:numId w:val="2"/>
        </w:numPr>
        <w:spacing w:after="120" w:line="360" w:lineRule="auto"/>
        <w:ind w:left="1714" w:hanging="274"/>
        <w:contextualSpacing w:val="0"/>
        <w:jc w:val="both"/>
        <w:rPr>
          <w:sz w:val="24"/>
          <w:szCs w:val="24"/>
        </w:rPr>
      </w:pPr>
      <w:r w:rsidRPr="006A6011">
        <w:rPr>
          <w:sz w:val="24"/>
          <w:szCs w:val="24"/>
        </w:rPr>
        <w:t xml:space="preserve">Reports that are associated with adverse outcomes as a result of an overdose, abuse, misuse, off-label use, occupational exposure and medication error of therapeutic goods. </w:t>
      </w:r>
    </w:p>
    <w:p w14:paraId="2B350646" w14:textId="1F6B939F" w:rsidR="0088709E" w:rsidRPr="009E07F7" w:rsidRDefault="009E07F7" w:rsidP="009E07F7">
      <w:pPr>
        <w:spacing w:after="120" w:line="360" w:lineRule="auto"/>
        <w:rPr>
          <w:i/>
          <w:iCs/>
          <w:sz w:val="24"/>
          <w:szCs w:val="24"/>
        </w:rPr>
      </w:pPr>
      <w:r>
        <w:rPr>
          <w:i/>
          <w:iCs/>
          <w:sz w:val="24"/>
          <w:szCs w:val="24"/>
        </w:rPr>
        <w:t xml:space="preserve">4.2.2 </w:t>
      </w:r>
      <w:r w:rsidR="0088709E" w:rsidRPr="009E07F7">
        <w:rPr>
          <w:i/>
          <w:iCs/>
          <w:sz w:val="24"/>
          <w:szCs w:val="24"/>
        </w:rPr>
        <w:t>Mandatory &amp; Essentially Required Information.</w:t>
      </w:r>
      <w:bookmarkEnd w:id="19"/>
      <w:bookmarkEnd w:id="20"/>
    </w:p>
    <w:p w14:paraId="2C3E6859" w14:textId="2DC6D164" w:rsidR="0088709E" w:rsidRPr="00CA6572" w:rsidRDefault="003B7397" w:rsidP="009E07F7">
      <w:pPr>
        <w:tabs>
          <w:tab w:val="left" w:pos="1800"/>
        </w:tabs>
        <w:spacing w:after="120" w:line="360" w:lineRule="auto"/>
        <w:ind w:left="540"/>
        <w:jc w:val="both"/>
        <w:rPr>
          <w:bCs/>
          <w:sz w:val="24"/>
          <w:szCs w:val="24"/>
        </w:rPr>
      </w:pPr>
      <w:r>
        <w:rPr>
          <w:bCs/>
          <w:sz w:val="24"/>
          <w:szCs w:val="24"/>
        </w:rPr>
        <w:t>All the stakeholders</w:t>
      </w:r>
      <w:r w:rsidR="00490D0A">
        <w:rPr>
          <w:bCs/>
          <w:sz w:val="24"/>
          <w:szCs w:val="24"/>
        </w:rPr>
        <w:t>'</w:t>
      </w:r>
      <w:r>
        <w:rPr>
          <w:bCs/>
          <w:sz w:val="24"/>
          <w:szCs w:val="24"/>
        </w:rPr>
        <w:t xml:space="preserve"> such </w:t>
      </w:r>
      <w:r w:rsidR="00490D0A">
        <w:rPr>
          <w:bCs/>
          <w:sz w:val="24"/>
          <w:szCs w:val="24"/>
        </w:rPr>
        <w:t xml:space="preserve">as </w:t>
      </w:r>
      <w:r>
        <w:rPr>
          <w:bCs/>
          <w:sz w:val="24"/>
          <w:szCs w:val="24"/>
        </w:rPr>
        <w:t>patient</w:t>
      </w:r>
      <w:r w:rsidR="00490D0A">
        <w:rPr>
          <w:bCs/>
          <w:sz w:val="24"/>
          <w:szCs w:val="24"/>
        </w:rPr>
        <w:t>s</w:t>
      </w:r>
      <w:r>
        <w:rPr>
          <w:bCs/>
          <w:sz w:val="24"/>
          <w:szCs w:val="24"/>
        </w:rPr>
        <w:t>, healthcare professionals, hospitals, public he</w:t>
      </w:r>
      <w:r w:rsidR="00490D0A">
        <w:rPr>
          <w:bCs/>
          <w:sz w:val="24"/>
          <w:szCs w:val="24"/>
        </w:rPr>
        <w:t>al</w:t>
      </w:r>
      <w:r>
        <w:rPr>
          <w:bCs/>
          <w:sz w:val="24"/>
          <w:szCs w:val="24"/>
        </w:rPr>
        <w:t xml:space="preserve">th programmes, provincial pharmacovigilance centres and registration holders </w:t>
      </w:r>
      <w:r w:rsidR="0088709E" w:rsidRPr="00CA6572">
        <w:rPr>
          <w:bCs/>
          <w:sz w:val="24"/>
          <w:szCs w:val="24"/>
        </w:rPr>
        <w:t xml:space="preserve">should collect all the information required to be filled in the </w:t>
      </w:r>
      <w:r w:rsidR="0088709E">
        <w:rPr>
          <w:bCs/>
          <w:sz w:val="24"/>
          <w:szCs w:val="24"/>
        </w:rPr>
        <w:t>AE reporting forms</w:t>
      </w:r>
      <w:r w:rsidR="0088709E" w:rsidRPr="00CA6572">
        <w:rPr>
          <w:bCs/>
          <w:sz w:val="24"/>
          <w:szCs w:val="24"/>
        </w:rPr>
        <w:t xml:space="preserve">. In case complete information is not available, </w:t>
      </w:r>
      <w:r w:rsidR="0088709E">
        <w:rPr>
          <w:bCs/>
          <w:sz w:val="24"/>
          <w:szCs w:val="24"/>
        </w:rPr>
        <w:t>then</w:t>
      </w:r>
      <w:r w:rsidR="0088709E" w:rsidRPr="00CA6572">
        <w:rPr>
          <w:bCs/>
          <w:sz w:val="24"/>
          <w:szCs w:val="24"/>
        </w:rPr>
        <w:t xml:space="preserve"> all the essentially required fields</w:t>
      </w:r>
      <w:r w:rsidR="0088709E">
        <w:rPr>
          <w:bCs/>
          <w:sz w:val="24"/>
          <w:szCs w:val="24"/>
        </w:rPr>
        <w:t>/ information should be filled</w:t>
      </w:r>
      <w:r>
        <w:rPr>
          <w:bCs/>
          <w:sz w:val="24"/>
          <w:szCs w:val="24"/>
        </w:rPr>
        <w:t xml:space="preserve"> in the reporting form</w:t>
      </w:r>
      <w:r w:rsidR="0088709E" w:rsidRPr="00CA6572">
        <w:rPr>
          <w:bCs/>
          <w:sz w:val="24"/>
          <w:szCs w:val="24"/>
        </w:rPr>
        <w:t xml:space="preserve">. In case essentially required information </w:t>
      </w:r>
      <w:r w:rsidR="0088709E">
        <w:rPr>
          <w:bCs/>
          <w:sz w:val="24"/>
          <w:szCs w:val="24"/>
        </w:rPr>
        <w:t>is</w:t>
      </w:r>
      <w:r w:rsidR="0088709E" w:rsidRPr="00CA6572">
        <w:rPr>
          <w:bCs/>
          <w:sz w:val="24"/>
          <w:szCs w:val="24"/>
        </w:rPr>
        <w:t xml:space="preserve"> not available, then reporting form </w:t>
      </w:r>
      <w:r w:rsidR="0088709E">
        <w:rPr>
          <w:bCs/>
          <w:sz w:val="24"/>
          <w:szCs w:val="24"/>
        </w:rPr>
        <w:t xml:space="preserve">must </w:t>
      </w:r>
      <w:r w:rsidR="0088709E" w:rsidRPr="00CA6572">
        <w:rPr>
          <w:bCs/>
          <w:sz w:val="24"/>
          <w:szCs w:val="24"/>
        </w:rPr>
        <w:t>c</w:t>
      </w:r>
      <w:r w:rsidR="0088709E">
        <w:rPr>
          <w:bCs/>
          <w:sz w:val="24"/>
          <w:szCs w:val="24"/>
        </w:rPr>
        <w:t>ontain all the mandatory information</w:t>
      </w:r>
      <w:r w:rsidR="0088709E" w:rsidRPr="00CA6572">
        <w:rPr>
          <w:bCs/>
          <w:sz w:val="24"/>
          <w:szCs w:val="24"/>
        </w:rPr>
        <w:t>.</w:t>
      </w:r>
      <w:r w:rsidR="0088709E">
        <w:rPr>
          <w:bCs/>
          <w:sz w:val="24"/>
          <w:szCs w:val="24"/>
        </w:rPr>
        <w:t xml:space="preserve"> Mandatory information is the minimum criteria for reporting therefore a form without mandatory information will not be accepted. </w:t>
      </w:r>
    </w:p>
    <w:tbl>
      <w:tblPr>
        <w:tblStyle w:val="TableGrid"/>
        <w:tblW w:w="9270" w:type="dxa"/>
        <w:tblInd w:w="85" w:type="dxa"/>
        <w:tblLook w:val="04A0" w:firstRow="1" w:lastRow="0" w:firstColumn="1" w:lastColumn="0" w:noHBand="0" w:noVBand="1"/>
      </w:tblPr>
      <w:tblGrid>
        <w:gridCol w:w="4230"/>
        <w:gridCol w:w="5040"/>
      </w:tblGrid>
      <w:tr w:rsidR="0088709E" w:rsidRPr="00CA6572" w14:paraId="2651CFC2" w14:textId="77777777" w:rsidTr="00E56547">
        <w:trPr>
          <w:trHeight w:val="350"/>
        </w:trPr>
        <w:tc>
          <w:tcPr>
            <w:tcW w:w="4230" w:type="dxa"/>
            <w:shd w:val="clear" w:color="auto" w:fill="A6A6A6" w:themeFill="background1" w:themeFillShade="A6"/>
          </w:tcPr>
          <w:p w14:paraId="7135EBA8" w14:textId="77777777" w:rsidR="0088709E" w:rsidRPr="00CA6572" w:rsidRDefault="0088709E" w:rsidP="00E56547">
            <w:pPr>
              <w:tabs>
                <w:tab w:val="left" w:pos="0"/>
              </w:tabs>
              <w:spacing w:line="360" w:lineRule="auto"/>
              <w:jc w:val="both"/>
              <w:rPr>
                <w:bCs/>
                <w:color w:val="000000" w:themeColor="text1"/>
                <w:sz w:val="24"/>
                <w:szCs w:val="24"/>
              </w:rPr>
            </w:pPr>
            <w:r>
              <w:rPr>
                <w:bCs/>
                <w:color w:val="000000" w:themeColor="text1"/>
                <w:sz w:val="24"/>
                <w:szCs w:val="24"/>
              </w:rPr>
              <w:t>Mandatory Information</w:t>
            </w:r>
          </w:p>
        </w:tc>
        <w:tc>
          <w:tcPr>
            <w:tcW w:w="5040" w:type="dxa"/>
            <w:shd w:val="clear" w:color="auto" w:fill="A6A6A6" w:themeFill="background1" w:themeFillShade="A6"/>
          </w:tcPr>
          <w:p w14:paraId="3C9E7741" w14:textId="77777777" w:rsidR="0088709E" w:rsidRPr="00CA6572" w:rsidRDefault="0088709E" w:rsidP="00E56547">
            <w:pPr>
              <w:tabs>
                <w:tab w:val="left" w:pos="0"/>
              </w:tabs>
              <w:spacing w:line="360" w:lineRule="auto"/>
              <w:jc w:val="both"/>
              <w:rPr>
                <w:bCs/>
                <w:color w:val="000000" w:themeColor="text1"/>
                <w:sz w:val="24"/>
                <w:szCs w:val="24"/>
              </w:rPr>
            </w:pPr>
            <w:r w:rsidRPr="00CA6572">
              <w:rPr>
                <w:bCs/>
                <w:color w:val="000000" w:themeColor="text1"/>
                <w:sz w:val="24"/>
                <w:szCs w:val="24"/>
              </w:rPr>
              <w:t>Essentially Required Information.</w:t>
            </w:r>
          </w:p>
        </w:tc>
      </w:tr>
      <w:tr w:rsidR="0088709E" w:rsidRPr="00CA6572" w14:paraId="2FE1EB8C" w14:textId="77777777" w:rsidTr="00E56547">
        <w:trPr>
          <w:trHeight w:val="1305"/>
        </w:trPr>
        <w:tc>
          <w:tcPr>
            <w:tcW w:w="4230" w:type="dxa"/>
          </w:tcPr>
          <w:p w14:paraId="2B9C0278" w14:textId="77777777" w:rsidR="0088709E" w:rsidRPr="008A7BA4" w:rsidRDefault="0088709E" w:rsidP="00B551AA">
            <w:pPr>
              <w:pStyle w:val="ListParagraph"/>
              <w:widowControl/>
              <w:numPr>
                <w:ilvl w:val="0"/>
                <w:numId w:val="41"/>
              </w:numPr>
              <w:tabs>
                <w:tab w:val="left" w:pos="0"/>
              </w:tabs>
              <w:spacing w:line="360" w:lineRule="auto"/>
              <w:jc w:val="both"/>
              <w:rPr>
                <w:b/>
              </w:rPr>
            </w:pPr>
            <w:r w:rsidRPr="008A7BA4">
              <w:rPr>
                <w:b/>
              </w:rPr>
              <w:t>Patient information.</w:t>
            </w:r>
          </w:p>
          <w:p w14:paraId="1B1789E4" w14:textId="77777777" w:rsidR="0088709E" w:rsidRPr="008A7BA4" w:rsidRDefault="0088709E" w:rsidP="00E56547">
            <w:pPr>
              <w:pStyle w:val="ListParagraph"/>
              <w:widowControl/>
              <w:tabs>
                <w:tab w:val="left" w:pos="0"/>
              </w:tabs>
              <w:spacing w:line="360" w:lineRule="auto"/>
              <w:jc w:val="both"/>
              <w:rPr>
                <w:b/>
              </w:rPr>
            </w:pPr>
          </w:p>
          <w:p w14:paraId="7111B090" w14:textId="77777777" w:rsidR="0088709E" w:rsidRPr="008A7BA4" w:rsidRDefault="0088709E" w:rsidP="00B551AA">
            <w:pPr>
              <w:pStyle w:val="ListParagraph"/>
              <w:widowControl/>
              <w:numPr>
                <w:ilvl w:val="0"/>
                <w:numId w:val="41"/>
              </w:numPr>
              <w:tabs>
                <w:tab w:val="left" w:pos="0"/>
              </w:tabs>
              <w:spacing w:line="360" w:lineRule="auto"/>
              <w:jc w:val="both"/>
              <w:rPr>
                <w:bCs/>
              </w:rPr>
            </w:pPr>
            <w:r w:rsidRPr="008A7BA4">
              <w:rPr>
                <w:b/>
              </w:rPr>
              <w:t>One or more suspected reaction (s).</w:t>
            </w:r>
          </w:p>
          <w:p w14:paraId="4EAF821E" w14:textId="77777777" w:rsidR="0088709E" w:rsidRPr="008A7BA4" w:rsidRDefault="0088709E" w:rsidP="00E56547">
            <w:pPr>
              <w:pStyle w:val="ListParagraph"/>
              <w:widowControl/>
              <w:tabs>
                <w:tab w:val="left" w:pos="0"/>
              </w:tabs>
              <w:spacing w:line="360" w:lineRule="auto"/>
              <w:jc w:val="both"/>
              <w:rPr>
                <w:bCs/>
              </w:rPr>
            </w:pPr>
            <w:r w:rsidRPr="008A7BA4">
              <w:rPr>
                <w:bCs/>
              </w:rPr>
              <w:t>The reaction terms or event summary must be given in case ADRs or ADE/medication error has reached to the patient</w:t>
            </w:r>
          </w:p>
          <w:p w14:paraId="3E1F91D7" w14:textId="77777777" w:rsidR="0088709E" w:rsidRPr="008A7BA4" w:rsidRDefault="0088709E" w:rsidP="00E56547">
            <w:pPr>
              <w:pStyle w:val="ListParagraph"/>
              <w:widowControl/>
              <w:tabs>
                <w:tab w:val="left" w:pos="0"/>
              </w:tabs>
              <w:spacing w:line="360" w:lineRule="auto"/>
              <w:jc w:val="both"/>
              <w:rPr>
                <w:bCs/>
              </w:rPr>
            </w:pPr>
          </w:p>
          <w:p w14:paraId="5C2AAFE2" w14:textId="77777777" w:rsidR="0088709E" w:rsidRPr="008A7BA4" w:rsidRDefault="0088709E" w:rsidP="00B551AA">
            <w:pPr>
              <w:pStyle w:val="ListParagraph"/>
              <w:widowControl/>
              <w:numPr>
                <w:ilvl w:val="0"/>
                <w:numId w:val="41"/>
              </w:numPr>
              <w:tabs>
                <w:tab w:val="left" w:pos="0"/>
              </w:tabs>
              <w:spacing w:line="360" w:lineRule="auto"/>
              <w:jc w:val="both"/>
              <w:rPr>
                <w:b/>
              </w:rPr>
            </w:pPr>
            <w:r w:rsidRPr="008A7BA4">
              <w:rPr>
                <w:b/>
              </w:rPr>
              <w:t xml:space="preserve">One or more suspected drug (s). </w:t>
            </w:r>
          </w:p>
          <w:p w14:paraId="6CAA5594" w14:textId="77777777" w:rsidR="0088709E" w:rsidRPr="008A7BA4" w:rsidRDefault="0088709E" w:rsidP="00E56547">
            <w:pPr>
              <w:pStyle w:val="ListParagraph"/>
              <w:widowControl/>
              <w:tabs>
                <w:tab w:val="left" w:pos="0"/>
              </w:tabs>
              <w:spacing w:line="360" w:lineRule="auto"/>
              <w:jc w:val="both"/>
              <w:rPr>
                <w:b/>
              </w:rPr>
            </w:pPr>
          </w:p>
          <w:p w14:paraId="5DA1FEDB" w14:textId="77777777" w:rsidR="0088709E" w:rsidRPr="00D67E12" w:rsidRDefault="0088709E" w:rsidP="00B551AA">
            <w:pPr>
              <w:pStyle w:val="ListParagraph"/>
              <w:widowControl/>
              <w:numPr>
                <w:ilvl w:val="0"/>
                <w:numId w:val="41"/>
              </w:numPr>
              <w:tabs>
                <w:tab w:val="left" w:pos="0"/>
              </w:tabs>
              <w:spacing w:line="360" w:lineRule="auto"/>
              <w:jc w:val="both"/>
              <w:rPr>
                <w:b/>
              </w:rPr>
            </w:pPr>
            <w:r w:rsidRPr="008A7BA4">
              <w:rPr>
                <w:b/>
              </w:rPr>
              <w:t>Reporter information.</w:t>
            </w:r>
          </w:p>
        </w:tc>
        <w:tc>
          <w:tcPr>
            <w:tcW w:w="5040" w:type="dxa"/>
          </w:tcPr>
          <w:p w14:paraId="2ABB0D93"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Patient initials, and age at the time of reaction or event.</w:t>
            </w:r>
          </w:p>
          <w:p w14:paraId="65047719"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Sex of the patient.</w:t>
            </w:r>
          </w:p>
          <w:p w14:paraId="7759EAD9"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Reaction term (s) or incident summary</w:t>
            </w:r>
          </w:p>
          <w:p w14:paraId="4F936ED5"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Time-to-onset of reaction (start date/time of suspected drug +start date/time of reaction)</w:t>
            </w:r>
          </w:p>
          <w:p w14:paraId="660FBFB6"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Suspected drug (s) (dose, strength, dosage form)</w:t>
            </w:r>
          </w:p>
          <w:p w14:paraId="053A9D43"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Indication for use.</w:t>
            </w:r>
          </w:p>
          <w:p w14:paraId="34AFB549"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The seriousness of reaction or event</w:t>
            </w:r>
          </w:p>
          <w:p w14:paraId="53CA6FDC"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The outcome of the reaction or event</w:t>
            </w:r>
          </w:p>
          <w:p w14:paraId="1832298F"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De-challenge (in case of ADR)</w:t>
            </w:r>
          </w:p>
          <w:p w14:paraId="5771163C"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Re-challenge (not always ethical to perform) (in case of ADR)</w:t>
            </w:r>
          </w:p>
          <w:p w14:paraId="286ED9FC" w14:textId="77777777" w:rsidR="0088709E" w:rsidRPr="008A7BA4" w:rsidRDefault="0088709E" w:rsidP="00B551AA">
            <w:pPr>
              <w:pStyle w:val="ListParagraph"/>
              <w:widowControl/>
              <w:numPr>
                <w:ilvl w:val="0"/>
                <w:numId w:val="42"/>
              </w:numPr>
              <w:tabs>
                <w:tab w:val="left" w:pos="0"/>
              </w:tabs>
              <w:spacing w:line="360" w:lineRule="auto"/>
              <w:ind w:left="526"/>
              <w:jc w:val="both"/>
              <w:rPr>
                <w:bCs/>
              </w:rPr>
            </w:pPr>
            <w:r w:rsidRPr="008A7BA4">
              <w:rPr>
                <w:bCs/>
              </w:rPr>
              <w:t>Reporter information (designation, contact details)</w:t>
            </w:r>
          </w:p>
          <w:p w14:paraId="3FAD5863" w14:textId="77777777" w:rsidR="0088709E" w:rsidRPr="008A7BA4" w:rsidRDefault="0088709E" w:rsidP="00B551AA">
            <w:pPr>
              <w:pStyle w:val="ListParagraph"/>
              <w:widowControl/>
              <w:numPr>
                <w:ilvl w:val="0"/>
                <w:numId w:val="42"/>
              </w:numPr>
              <w:tabs>
                <w:tab w:val="left" w:pos="0"/>
              </w:tabs>
              <w:spacing w:line="276" w:lineRule="auto"/>
              <w:ind w:left="526"/>
              <w:jc w:val="both"/>
              <w:rPr>
                <w:bCs/>
              </w:rPr>
            </w:pPr>
            <w:r w:rsidRPr="008A7BA4">
              <w:rPr>
                <w:bCs/>
              </w:rPr>
              <w:t>Case Narrative in free text (chronology of happening of ADRs or AEs)</w:t>
            </w:r>
          </w:p>
          <w:p w14:paraId="78249E82" w14:textId="77777777" w:rsidR="0088709E" w:rsidRPr="00944795" w:rsidRDefault="0088709E" w:rsidP="00B551AA">
            <w:pPr>
              <w:pStyle w:val="ListParagraph"/>
              <w:widowControl/>
              <w:numPr>
                <w:ilvl w:val="0"/>
                <w:numId w:val="42"/>
              </w:numPr>
              <w:tabs>
                <w:tab w:val="left" w:pos="0"/>
              </w:tabs>
              <w:spacing w:line="360" w:lineRule="auto"/>
              <w:ind w:left="526"/>
              <w:jc w:val="both"/>
              <w:rPr>
                <w:bCs/>
              </w:rPr>
            </w:pPr>
            <w:r w:rsidRPr="008A7BA4">
              <w:rPr>
                <w:bCs/>
              </w:rPr>
              <w:t>Date of report.</w:t>
            </w:r>
          </w:p>
        </w:tc>
      </w:tr>
    </w:tbl>
    <w:p w14:paraId="748B3281" w14:textId="77777777" w:rsidR="0088709E" w:rsidRPr="0088709E" w:rsidRDefault="0088709E" w:rsidP="0088709E"/>
    <w:p w14:paraId="54C8ED5A" w14:textId="5D5159F2" w:rsidR="004135E2" w:rsidRPr="004135E2" w:rsidRDefault="004135E2" w:rsidP="00802DBB">
      <w:pPr>
        <w:spacing w:after="120" w:line="360" w:lineRule="auto"/>
        <w:rPr>
          <w:i/>
          <w:iCs/>
          <w:sz w:val="24"/>
          <w:szCs w:val="24"/>
        </w:rPr>
      </w:pPr>
      <w:r>
        <w:rPr>
          <w:i/>
          <w:iCs/>
          <w:sz w:val="24"/>
          <w:szCs w:val="24"/>
        </w:rPr>
        <w:lastRenderedPageBreak/>
        <w:t xml:space="preserve">4.2.3 </w:t>
      </w:r>
      <w:r w:rsidRPr="004135E2">
        <w:rPr>
          <w:i/>
          <w:iCs/>
          <w:sz w:val="24"/>
          <w:szCs w:val="24"/>
        </w:rPr>
        <w:t>Necessary Information in a Report</w:t>
      </w:r>
    </w:p>
    <w:p w14:paraId="3310BEDF" w14:textId="342310C6" w:rsidR="004135E2" w:rsidRPr="00162F30" w:rsidRDefault="003E4C5A" w:rsidP="00162F30">
      <w:pPr>
        <w:spacing w:before="120" w:after="120" w:line="360" w:lineRule="auto"/>
        <w:ind w:left="540"/>
        <w:jc w:val="both"/>
        <w:rPr>
          <w:sz w:val="24"/>
          <w:szCs w:val="24"/>
        </w:rPr>
      </w:pPr>
      <w:r>
        <w:rPr>
          <w:sz w:val="24"/>
          <w:szCs w:val="24"/>
        </w:rPr>
        <w:t>All the pharmacovigilance stakeholders</w:t>
      </w:r>
      <w:r w:rsidR="004135E2" w:rsidRPr="00CF17B0">
        <w:rPr>
          <w:sz w:val="24"/>
          <w:szCs w:val="24"/>
        </w:rPr>
        <w:t xml:space="preserve"> should provide the maximum information in the </w:t>
      </w:r>
      <w:r w:rsidR="004135E2">
        <w:rPr>
          <w:sz w:val="24"/>
          <w:szCs w:val="24"/>
        </w:rPr>
        <w:t>AE</w:t>
      </w:r>
      <w:r w:rsidR="004135E2" w:rsidRPr="00CF17B0">
        <w:rPr>
          <w:sz w:val="24"/>
          <w:szCs w:val="24"/>
        </w:rPr>
        <w:t xml:space="preserve"> reporting form about the following:</w:t>
      </w:r>
    </w:p>
    <w:p w14:paraId="247734D3" w14:textId="77777777" w:rsidR="004135E2" w:rsidRPr="00CF17B0" w:rsidRDefault="004135E2" w:rsidP="00B551AA">
      <w:pPr>
        <w:pStyle w:val="ListParagraph"/>
        <w:numPr>
          <w:ilvl w:val="2"/>
          <w:numId w:val="73"/>
        </w:numPr>
        <w:spacing w:after="120" w:line="360" w:lineRule="auto"/>
        <w:ind w:left="1612" w:hanging="446"/>
        <w:contextualSpacing w:val="0"/>
        <w:jc w:val="both"/>
        <w:rPr>
          <w:sz w:val="24"/>
          <w:szCs w:val="24"/>
        </w:rPr>
      </w:pPr>
      <w:r w:rsidRPr="00CF17B0">
        <w:rPr>
          <w:sz w:val="24"/>
          <w:szCs w:val="24"/>
        </w:rPr>
        <w:t xml:space="preserve">Information about the person/patient who has experienced an </w:t>
      </w:r>
      <w:r>
        <w:rPr>
          <w:sz w:val="24"/>
          <w:szCs w:val="24"/>
        </w:rPr>
        <w:t xml:space="preserve">AE or AEFI </w:t>
      </w:r>
      <w:r w:rsidRPr="00CF17B0">
        <w:rPr>
          <w:sz w:val="24"/>
          <w:szCs w:val="24"/>
        </w:rPr>
        <w:t>(age, gender, weight and name etc);</w:t>
      </w:r>
    </w:p>
    <w:p w14:paraId="0C3244E4" w14:textId="77777777" w:rsidR="004135E2" w:rsidRPr="00CF17B0" w:rsidRDefault="004135E2" w:rsidP="00B551AA">
      <w:pPr>
        <w:pStyle w:val="ListParagraph"/>
        <w:numPr>
          <w:ilvl w:val="2"/>
          <w:numId w:val="73"/>
        </w:numPr>
        <w:spacing w:after="120" w:line="360" w:lineRule="auto"/>
        <w:ind w:left="1612" w:hanging="446"/>
        <w:contextualSpacing w:val="0"/>
        <w:jc w:val="both"/>
        <w:rPr>
          <w:sz w:val="24"/>
          <w:szCs w:val="24"/>
        </w:rPr>
      </w:pPr>
      <w:r w:rsidRPr="00CF17B0">
        <w:rPr>
          <w:sz w:val="24"/>
          <w:szCs w:val="24"/>
        </w:rPr>
        <w:t xml:space="preserve">The description of an </w:t>
      </w:r>
      <w:r>
        <w:rPr>
          <w:sz w:val="24"/>
          <w:szCs w:val="24"/>
        </w:rPr>
        <w:t>AE or AEFI</w:t>
      </w:r>
      <w:r w:rsidRPr="00CF17B0">
        <w:rPr>
          <w:sz w:val="24"/>
          <w:szCs w:val="24"/>
        </w:rPr>
        <w:t xml:space="preserve"> including how it happens, what the patient experience, and the onset date of the event;</w:t>
      </w:r>
    </w:p>
    <w:p w14:paraId="7F89A82E" w14:textId="77777777" w:rsidR="004135E2" w:rsidRPr="00CF17B0" w:rsidRDefault="004135E2" w:rsidP="00B551AA">
      <w:pPr>
        <w:pStyle w:val="ListParagraph"/>
        <w:numPr>
          <w:ilvl w:val="2"/>
          <w:numId w:val="73"/>
        </w:numPr>
        <w:spacing w:after="120" w:line="360" w:lineRule="auto"/>
        <w:ind w:left="1612" w:hanging="446"/>
        <w:contextualSpacing w:val="0"/>
        <w:jc w:val="both"/>
        <w:rPr>
          <w:sz w:val="24"/>
          <w:szCs w:val="24"/>
        </w:rPr>
      </w:pPr>
      <w:r w:rsidRPr="00CF17B0">
        <w:rPr>
          <w:sz w:val="24"/>
          <w:szCs w:val="24"/>
        </w:rPr>
        <w:t xml:space="preserve">Information about the therapeutic goods (brand name, generic name, batch number, dose, strength, indication, route of administration, start and stop date etc.); </w:t>
      </w:r>
    </w:p>
    <w:p w14:paraId="5F05E63E" w14:textId="77777777" w:rsidR="004135E2" w:rsidRPr="00CF17B0" w:rsidRDefault="004135E2" w:rsidP="00B551AA">
      <w:pPr>
        <w:pStyle w:val="ListParagraph"/>
        <w:numPr>
          <w:ilvl w:val="2"/>
          <w:numId w:val="73"/>
        </w:numPr>
        <w:spacing w:after="120" w:line="360" w:lineRule="auto"/>
        <w:ind w:left="1612" w:hanging="446"/>
        <w:contextualSpacing w:val="0"/>
        <w:jc w:val="both"/>
        <w:rPr>
          <w:sz w:val="24"/>
          <w:szCs w:val="24"/>
        </w:rPr>
      </w:pPr>
      <w:r w:rsidRPr="00CF17B0">
        <w:rPr>
          <w:sz w:val="24"/>
          <w:szCs w:val="24"/>
        </w:rPr>
        <w:t>Information about any other drug or therapeutic good that the patient was taking at the same time;</w:t>
      </w:r>
    </w:p>
    <w:p w14:paraId="005ECA58" w14:textId="77777777" w:rsidR="004135E2" w:rsidRPr="00CF17B0" w:rsidRDefault="004135E2" w:rsidP="00B551AA">
      <w:pPr>
        <w:pStyle w:val="ListParagraph"/>
        <w:numPr>
          <w:ilvl w:val="2"/>
          <w:numId w:val="73"/>
        </w:numPr>
        <w:spacing w:after="120" w:line="360" w:lineRule="auto"/>
        <w:ind w:left="1612" w:hanging="446"/>
        <w:contextualSpacing w:val="0"/>
        <w:jc w:val="both"/>
        <w:rPr>
          <w:sz w:val="24"/>
          <w:szCs w:val="24"/>
        </w:rPr>
      </w:pPr>
      <w:r w:rsidRPr="00CF17B0">
        <w:rPr>
          <w:sz w:val="24"/>
          <w:szCs w:val="24"/>
        </w:rPr>
        <w:t>Information about any other illness or medical condition; and</w:t>
      </w:r>
    </w:p>
    <w:p w14:paraId="2F7CEB0F" w14:textId="10E375A9" w:rsidR="0088709E" w:rsidRDefault="004135E2" w:rsidP="00B551AA">
      <w:pPr>
        <w:pStyle w:val="ListParagraph"/>
        <w:numPr>
          <w:ilvl w:val="2"/>
          <w:numId w:val="73"/>
        </w:numPr>
        <w:spacing w:after="120" w:line="360" w:lineRule="auto"/>
        <w:ind w:left="1612" w:hanging="446"/>
        <w:contextualSpacing w:val="0"/>
        <w:jc w:val="both"/>
        <w:rPr>
          <w:sz w:val="24"/>
          <w:szCs w:val="24"/>
        </w:rPr>
      </w:pPr>
      <w:r w:rsidRPr="00CF17B0">
        <w:rPr>
          <w:sz w:val="24"/>
          <w:szCs w:val="24"/>
        </w:rPr>
        <w:t>Information about past allerg</w:t>
      </w:r>
      <w:r>
        <w:rPr>
          <w:sz w:val="24"/>
          <w:szCs w:val="24"/>
        </w:rPr>
        <w:t>ies</w:t>
      </w:r>
      <w:r w:rsidRPr="00CF17B0">
        <w:rPr>
          <w:sz w:val="24"/>
          <w:szCs w:val="24"/>
        </w:rPr>
        <w:t xml:space="preserve"> if any.</w:t>
      </w:r>
    </w:p>
    <w:p w14:paraId="3E34DE90" w14:textId="1484808E" w:rsidR="00463834" w:rsidRPr="00162F30" w:rsidRDefault="00826BF9" w:rsidP="00162F30">
      <w:pPr>
        <w:spacing w:after="120"/>
        <w:rPr>
          <w:b/>
          <w:bCs/>
          <w:sz w:val="28"/>
          <w:szCs w:val="28"/>
          <w:u w:val="single"/>
        </w:rPr>
      </w:pPr>
      <w:r>
        <w:rPr>
          <w:b/>
          <w:bCs/>
          <w:sz w:val="28"/>
          <w:szCs w:val="28"/>
        </w:rPr>
        <w:t>4.</w:t>
      </w:r>
      <w:r w:rsidR="005C5182">
        <w:rPr>
          <w:b/>
          <w:bCs/>
          <w:sz w:val="28"/>
          <w:szCs w:val="28"/>
        </w:rPr>
        <w:t>3</w:t>
      </w:r>
      <w:r>
        <w:rPr>
          <w:b/>
          <w:bCs/>
          <w:sz w:val="28"/>
          <w:szCs w:val="28"/>
        </w:rPr>
        <w:t xml:space="preserve"> </w:t>
      </w:r>
      <w:r w:rsidRPr="00826BF9">
        <w:rPr>
          <w:b/>
          <w:bCs/>
          <w:sz w:val="28"/>
          <w:szCs w:val="28"/>
          <w:u w:val="single"/>
        </w:rPr>
        <w:t>Reporting Forms</w:t>
      </w:r>
      <w:r>
        <w:rPr>
          <w:b/>
          <w:bCs/>
          <w:sz w:val="28"/>
          <w:szCs w:val="28"/>
          <w:u w:val="single"/>
        </w:rPr>
        <w:t>.</w:t>
      </w:r>
      <w:bookmarkStart w:id="21" w:name="_Toc109904292"/>
      <w:bookmarkStart w:id="22" w:name="_Toc109904584"/>
      <w:bookmarkStart w:id="23" w:name="_Toc109904717"/>
      <w:bookmarkStart w:id="24" w:name="_Toc109904976"/>
      <w:bookmarkStart w:id="25" w:name="_Toc109906781"/>
      <w:bookmarkStart w:id="26" w:name="_Toc109907393"/>
      <w:bookmarkStart w:id="27" w:name="_Toc109907498"/>
      <w:bookmarkStart w:id="28" w:name="_Toc109912979"/>
      <w:bookmarkStart w:id="29" w:name="_Toc109913075"/>
      <w:bookmarkStart w:id="30" w:name="_Toc109913171"/>
      <w:bookmarkStart w:id="31" w:name="_Toc109915733"/>
      <w:bookmarkStart w:id="32" w:name="_Toc109916869"/>
      <w:bookmarkStart w:id="33" w:name="_Toc110236266"/>
      <w:bookmarkStart w:id="34" w:name="_Toc110236315"/>
      <w:bookmarkStart w:id="35" w:name="_Toc110242979"/>
      <w:bookmarkStart w:id="36" w:name="_Toc11024306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668038D" w14:textId="211A70DB" w:rsidR="00463834" w:rsidRPr="00205469" w:rsidRDefault="006A2F3C" w:rsidP="009E0742">
      <w:pPr>
        <w:spacing w:after="120"/>
        <w:rPr>
          <w:b/>
          <w:bCs/>
          <w:i/>
          <w:iCs/>
          <w:sz w:val="26"/>
          <w:szCs w:val="26"/>
        </w:rPr>
      </w:pPr>
      <w:r w:rsidRPr="00205469">
        <w:rPr>
          <w:b/>
          <w:bCs/>
          <w:i/>
          <w:iCs/>
          <w:sz w:val="26"/>
          <w:szCs w:val="26"/>
        </w:rPr>
        <w:t xml:space="preserve">A. </w:t>
      </w:r>
      <w:r w:rsidR="00463834" w:rsidRPr="00205469">
        <w:rPr>
          <w:b/>
          <w:bCs/>
          <w:i/>
          <w:iCs/>
          <w:sz w:val="26"/>
          <w:szCs w:val="26"/>
        </w:rPr>
        <w:t>Suspected Adverse Drug Reaction Reporting Form</w:t>
      </w:r>
      <w:r w:rsidR="00AE3046" w:rsidRPr="00205469">
        <w:rPr>
          <w:b/>
          <w:bCs/>
          <w:i/>
          <w:iCs/>
          <w:sz w:val="26"/>
          <w:szCs w:val="26"/>
        </w:rPr>
        <w:t xml:space="preserve"> </w:t>
      </w:r>
      <w:r w:rsidR="00AE3046" w:rsidRPr="00B52AD0">
        <w:rPr>
          <w:b/>
          <w:bCs/>
          <w:i/>
          <w:iCs/>
          <w:color w:val="002060"/>
          <w:sz w:val="26"/>
          <w:szCs w:val="26"/>
        </w:rPr>
        <w:t>(For Healthcare Professionals</w:t>
      </w:r>
      <w:r w:rsidR="00AE3046" w:rsidRPr="00205469">
        <w:rPr>
          <w:b/>
          <w:bCs/>
          <w:i/>
          <w:iCs/>
          <w:sz w:val="26"/>
          <w:szCs w:val="26"/>
        </w:rPr>
        <w:t>)</w:t>
      </w:r>
    </w:p>
    <w:p w14:paraId="3A229441" w14:textId="32B72632" w:rsidR="001704A0" w:rsidRPr="00CC39F2" w:rsidRDefault="001C1EE0" w:rsidP="009E0742">
      <w:pPr>
        <w:tabs>
          <w:tab w:val="left" w:pos="540"/>
        </w:tabs>
        <w:spacing w:after="120" w:line="360" w:lineRule="auto"/>
        <w:ind w:left="540"/>
        <w:jc w:val="both"/>
        <w:rPr>
          <w:sz w:val="24"/>
          <w:szCs w:val="24"/>
        </w:rPr>
      </w:pPr>
      <w:r>
        <w:rPr>
          <w:bCs/>
          <w:sz w:val="24"/>
          <w:szCs w:val="24"/>
        </w:rPr>
        <w:t xml:space="preserve">The </w:t>
      </w:r>
      <w:r w:rsidR="00463834">
        <w:rPr>
          <w:bCs/>
          <w:sz w:val="24"/>
          <w:szCs w:val="24"/>
        </w:rPr>
        <w:t>NPC, DRAP</w:t>
      </w:r>
      <w:r w:rsidR="00463834" w:rsidRPr="00CA6572">
        <w:rPr>
          <w:bCs/>
          <w:sz w:val="24"/>
          <w:szCs w:val="24"/>
        </w:rPr>
        <w:t xml:space="preserve"> has designed </w:t>
      </w:r>
      <w:hyperlink r:id="rId40" w:history="1">
        <w:r w:rsidR="00514AA2">
          <w:rPr>
            <w:rStyle w:val="Hyperlink"/>
            <w:bCs/>
            <w:sz w:val="24"/>
            <w:szCs w:val="24"/>
          </w:rPr>
          <w:t>Y</w:t>
        </w:r>
        <w:r w:rsidR="00463834" w:rsidRPr="003F3263">
          <w:rPr>
            <w:rStyle w:val="Hyperlink"/>
            <w:bCs/>
            <w:sz w:val="24"/>
            <w:szCs w:val="24"/>
          </w:rPr>
          <w:t xml:space="preserve">ellow </w:t>
        </w:r>
        <w:r w:rsidR="00490D0A" w:rsidRPr="003F3263">
          <w:rPr>
            <w:rStyle w:val="Hyperlink"/>
            <w:bCs/>
            <w:sz w:val="24"/>
            <w:szCs w:val="24"/>
          </w:rPr>
          <w:t>Form</w:t>
        </w:r>
      </w:hyperlink>
      <w:r w:rsidR="00490D0A" w:rsidRPr="003F3263">
        <w:rPr>
          <w:bCs/>
          <w:sz w:val="24"/>
          <w:szCs w:val="24"/>
        </w:rPr>
        <w:t xml:space="preserve"> </w:t>
      </w:r>
      <w:r w:rsidR="00463834" w:rsidRPr="003F3263">
        <w:rPr>
          <w:bCs/>
          <w:sz w:val="24"/>
          <w:szCs w:val="24"/>
        </w:rPr>
        <w:t>in hard format</w:t>
      </w:r>
      <w:r w:rsidR="00463834">
        <w:rPr>
          <w:bCs/>
          <w:sz w:val="24"/>
          <w:szCs w:val="24"/>
        </w:rPr>
        <w:t xml:space="preserve"> </w:t>
      </w:r>
      <w:r w:rsidR="00463834" w:rsidRPr="003F0932">
        <w:rPr>
          <w:b/>
          <w:sz w:val="24"/>
          <w:szCs w:val="24"/>
        </w:rPr>
        <w:t>(Annex A</w:t>
      </w:r>
      <w:r w:rsidR="00463834">
        <w:rPr>
          <w:bCs/>
          <w:sz w:val="24"/>
          <w:szCs w:val="24"/>
        </w:rPr>
        <w:t xml:space="preserve">) </w:t>
      </w:r>
      <w:r w:rsidR="00463834" w:rsidRPr="00CA6572">
        <w:rPr>
          <w:bCs/>
          <w:sz w:val="24"/>
          <w:szCs w:val="24"/>
        </w:rPr>
        <w:t xml:space="preserve">for </w:t>
      </w:r>
      <w:r w:rsidR="00463834">
        <w:rPr>
          <w:bCs/>
          <w:sz w:val="24"/>
          <w:szCs w:val="24"/>
        </w:rPr>
        <w:t xml:space="preserve">the </w:t>
      </w:r>
      <w:r w:rsidR="00463834" w:rsidRPr="00CA6572">
        <w:rPr>
          <w:bCs/>
          <w:sz w:val="24"/>
          <w:szCs w:val="24"/>
        </w:rPr>
        <w:t xml:space="preserve">collection of suspected </w:t>
      </w:r>
      <w:r w:rsidR="00463834">
        <w:rPr>
          <w:bCs/>
          <w:sz w:val="24"/>
          <w:szCs w:val="24"/>
        </w:rPr>
        <w:t>ADRs or AEs</w:t>
      </w:r>
      <w:r w:rsidR="00463834" w:rsidRPr="00CA6572">
        <w:rPr>
          <w:bCs/>
          <w:sz w:val="24"/>
          <w:szCs w:val="24"/>
        </w:rPr>
        <w:t xml:space="preserve"> reports</w:t>
      </w:r>
      <w:r w:rsidR="00463834">
        <w:rPr>
          <w:bCs/>
          <w:sz w:val="24"/>
          <w:szCs w:val="24"/>
        </w:rPr>
        <w:t xml:space="preserve"> </w:t>
      </w:r>
      <w:r w:rsidR="00463834" w:rsidRPr="00CA6572">
        <w:rPr>
          <w:bCs/>
          <w:sz w:val="24"/>
          <w:szCs w:val="24"/>
        </w:rPr>
        <w:t xml:space="preserve">from </w:t>
      </w:r>
      <w:r w:rsidR="00463834">
        <w:rPr>
          <w:bCs/>
          <w:sz w:val="24"/>
          <w:szCs w:val="24"/>
        </w:rPr>
        <w:t>H</w:t>
      </w:r>
      <w:r>
        <w:rPr>
          <w:bCs/>
          <w:sz w:val="24"/>
          <w:szCs w:val="24"/>
        </w:rPr>
        <w:t>ealthcare professionals</w:t>
      </w:r>
      <w:r w:rsidR="00463834">
        <w:rPr>
          <w:bCs/>
          <w:sz w:val="24"/>
          <w:szCs w:val="24"/>
        </w:rPr>
        <w:t xml:space="preserve">. There are fields of mandatory and essentially required information in this reporting form that need to be filled in properly for proper assessment of the report. </w:t>
      </w:r>
      <w:r w:rsidR="001704A0">
        <w:rPr>
          <w:bCs/>
          <w:sz w:val="24"/>
          <w:szCs w:val="24"/>
        </w:rPr>
        <w:t>This form</w:t>
      </w:r>
      <w:r w:rsidR="001704A0">
        <w:rPr>
          <w:sz w:val="24"/>
          <w:szCs w:val="24"/>
        </w:rPr>
        <w:t xml:space="preserve"> </w:t>
      </w:r>
      <w:r w:rsidR="001704A0" w:rsidRPr="00CC39F2">
        <w:rPr>
          <w:sz w:val="24"/>
          <w:szCs w:val="24"/>
        </w:rPr>
        <w:t>is available on the DRAP website that can be mailed to NPC either on an email address or mailing address. Necessary</w:t>
      </w:r>
      <w:r w:rsidR="001704A0">
        <w:rPr>
          <w:sz w:val="24"/>
          <w:szCs w:val="24"/>
        </w:rPr>
        <w:t xml:space="preserve"> contact</w:t>
      </w:r>
      <w:r w:rsidR="001704A0" w:rsidRPr="00CC39F2">
        <w:rPr>
          <w:sz w:val="24"/>
          <w:szCs w:val="24"/>
        </w:rPr>
        <w:t xml:space="preserve"> details</w:t>
      </w:r>
      <w:r w:rsidR="001704A0">
        <w:rPr>
          <w:sz w:val="24"/>
          <w:szCs w:val="24"/>
        </w:rPr>
        <w:t xml:space="preserve"> of the </w:t>
      </w:r>
      <w:r w:rsidR="00DC3329">
        <w:rPr>
          <w:sz w:val="24"/>
          <w:szCs w:val="24"/>
        </w:rPr>
        <w:t xml:space="preserve">National </w:t>
      </w:r>
      <w:r w:rsidR="001704A0">
        <w:rPr>
          <w:sz w:val="24"/>
          <w:szCs w:val="24"/>
        </w:rPr>
        <w:t>centre</w:t>
      </w:r>
      <w:r w:rsidR="001704A0" w:rsidRPr="00CC39F2">
        <w:rPr>
          <w:sz w:val="24"/>
          <w:szCs w:val="24"/>
        </w:rPr>
        <w:t xml:space="preserve"> are as under:</w:t>
      </w:r>
    </w:p>
    <w:p w14:paraId="5B9E5BAD" w14:textId="2C7F2E9D" w:rsidR="001704A0" w:rsidRPr="002F3F39" w:rsidRDefault="00F23CDF" w:rsidP="00F23CDF">
      <w:pPr>
        <w:pStyle w:val="ListParagraph"/>
        <w:ind w:left="1620"/>
        <w:rPr>
          <w:b/>
          <w:bCs/>
          <w:sz w:val="24"/>
          <w:szCs w:val="24"/>
        </w:rPr>
      </w:pPr>
      <w:r>
        <w:rPr>
          <w:b/>
          <w:bCs/>
          <w:sz w:val="24"/>
          <w:szCs w:val="24"/>
        </w:rPr>
        <w:t xml:space="preserve">        </w:t>
      </w:r>
      <w:r w:rsidR="001704A0" w:rsidRPr="002F3F39">
        <w:rPr>
          <w:b/>
          <w:bCs/>
          <w:sz w:val="24"/>
          <w:szCs w:val="24"/>
        </w:rPr>
        <w:t>In-charge National Pharmacovigilance Centre,</w:t>
      </w:r>
    </w:p>
    <w:p w14:paraId="652FE26C" w14:textId="77777777" w:rsidR="001704A0" w:rsidRPr="00CC39F2" w:rsidRDefault="001704A0" w:rsidP="00F23CDF">
      <w:pPr>
        <w:pStyle w:val="ListParagraph"/>
        <w:tabs>
          <w:tab w:val="left" w:pos="1710"/>
        </w:tabs>
        <w:ind w:left="1710"/>
        <w:rPr>
          <w:sz w:val="24"/>
          <w:szCs w:val="24"/>
        </w:rPr>
      </w:pPr>
      <w:r w:rsidRPr="00CC39F2">
        <w:rPr>
          <w:sz w:val="24"/>
          <w:szCs w:val="24"/>
        </w:rPr>
        <w:tab/>
        <w:t>Division of Pharmacy Services</w:t>
      </w:r>
    </w:p>
    <w:p w14:paraId="790E3C9F" w14:textId="77777777" w:rsidR="001704A0" w:rsidRPr="00CC39F2" w:rsidRDefault="001704A0" w:rsidP="00F23CDF">
      <w:pPr>
        <w:pStyle w:val="ListParagraph"/>
        <w:tabs>
          <w:tab w:val="left" w:pos="1710"/>
        </w:tabs>
        <w:ind w:left="1710"/>
        <w:rPr>
          <w:sz w:val="24"/>
          <w:szCs w:val="24"/>
        </w:rPr>
      </w:pPr>
      <w:r w:rsidRPr="00CC39F2">
        <w:rPr>
          <w:sz w:val="24"/>
          <w:szCs w:val="24"/>
        </w:rPr>
        <w:tab/>
        <w:t>Drug Regulatory Authority of Pakistan</w:t>
      </w:r>
    </w:p>
    <w:p w14:paraId="3238957A" w14:textId="77777777" w:rsidR="001704A0" w:rsidRPr="00CC39F2" w:rsidRDefault="001704A0" w:rsidP="00F23CDF">
      <w:pPr>
        <w:pStyle w:val="ListParagraph"/>
        <w:tabs>
          <w:tab w:val="left" w:pos="1710"/>
        </w:tabs>
        <w:ind w:left="1710"/>
        <w:rPr>
          <w:sz w:val="24"/>
          <w:szCs w:val="24"/>
        </w:rPr>
      </w:pPr>
      <w:r w:rsidRPr="00CC39F2">
        <w:rPr>
          <w:sz w:val="24"/>
          <w:szCs w:val="24"/>
        </w:rPr>
        <w:tab/>
        <w:t>3</w:t>
      </w:r>
      <w:r w:rsidRPr="00CC39F2">
        <w:rPr>
          <w:sz w:val="24"/>
          <w:szCs w:val="24"/>
          <w:vertAlign w:val="superscript"/>
        </w:rPr>
        <w:t>rd</w:t>
      </w:r>
      <w:r w:rsidRPr="00CC39F2">
        <w:rPr>
          <w:sz w:val="24"/>
          <w:szCs w:val="24"/>
        </w:rPr>
        <w:t xml:space="preserve"> Floor, TF Complex,</w:t>
      </w:r>
    </w:p>
    <w:p w14:paraId="702D77FC" w14:textId="61DD9621" w:rsidR="001704A0" w:rsidRPr="00F23CDF" w:rsidRDefault="001704A0" w:rsidP="00F23CDF">
      <w:pPr>
        <w:pStyle w:val="ListParagraph"/>
        <w:tabs>
          <w:tab w:val="left" w:pos="1710"/>
        </w:tabs>
        <w:ind w:left="1710"/>
        <w:rPr>
          <w:sz w:val="24"/>
          <w:szCs w:val="24"/>
        </w:rPr>
      </w:pPr>
      <w:r w:rsidRPr="00CC39F2">
        <w:rPr>
          <w:sz w:val="24"/>
          <w:szCs w:val="24"/>
        </w:rPr>
        <w:tab/>
        <w:t>7-Mauve Area</w:t>
      </w:r>
      <w:r w:rsidR="00F23CDF">
        <w:rPr>
          <w:sz w:val="24"/>
          <w:szCs w:val="24"/>
        </w:rPr>
        <w:t xml:space="preserve">, </w:t>
      </w:r>
      <w:r w:rsidRPr="00F23CDF">
        <w:rPr>
          <w:sz w:val="24"/>
          <w:szCs w:val="24"/>
        </w:rPr>
        <w:t xml:space="preserve">Islamabad. </w:t>
      </w:r>
    </w:p>
    <w:p w14:paraId="1B60E0EE" w14:textId="77777777" w:rsidR="001704A0" w:rsidRPr="00CC39F2" w:rsidRDefault="001704A0" w:rsidP="00F23CDF">
      <w:pPr>
        <w:pStyle w:val="ListParagraph"/>
        <w:tabs>
          <w:tab w:val="left" w:pos="1710"/>
        </w:tabs>
        <w:ind w:left="1710"/>
        <w:rPr>
          <w:sz w:val="24"/>
          <w:szCs w:val="24"/>
        </w:rPr>
      </w:pPr>
      <w:r w:rsidRPr="00CC39F2">
        <w:rPr>
          <w:sz w:val="24"/>
          <w:szCs w:val="24"/>
        </w:rPr>
        <w:tab/>
        <w:t>Phone No: +92519107413, +92-51-927299</w:t>
      </w:r>
    </w:p>
    <w:p w14:paraId="6EA1D0F7" w14:textId="77777777" w:rsidR="001704A0" w:rsidRPr="00CC39F2" w:rsidRDefault="001704A0" w:rsidP="00F23CDF">
      <w:pPr>
        <w:pStyle w:val="ListParagraph"/>
        <w:tabs>
          <w:tab w:val="left" w:pos="1710"/>
        </w:tabs>
        <w:ind w:left="1710"/>
        <w:rPr>
          <w:sz w:val="24"/>
          <w:szCs w:val="24"/>
        </w:rPr>
      </w:pPr>
      <w:r w:rsidRPr="00CC39F2">
        <w:rPr>
          <w:sz w:val="24"/>
          <w:szCs w:val="24"/>
        </w:rPr>
        <w:tab/>
        <w:t xml:space="preserve">Email Address: </w:t>
      </w:r>
      <w:hyperlink r:id="rId41" w:history="1">
        <w:r w:rsidRPr="00CC39F2">
          <w:rPr>
            <w:rStyle w:val="Hyperlink"/>
            <w:sz w:val="24"/>
            <w:szCs w:val="24"/>
          </w:rPr>
          <w:t>npc@dra.gov.pk</w:t>
        </w:r>
      </w:hyperlink>
      <w:r w:rsidRPr="00CC39F2">
        <w:rPr>
          <w:sz w:val="24"/>
          <w:szCs w:val="24"/>
        </w:rPr>
        <w:t xml:space="preserve"> </w:t>
      </w:r>
    </w:p>
    <w:p w14:paraId="331D740F" w14:textId="1D0B1928" w:rsidR="001704A0" w:rsidRPr="001704A0" w:rsidRDefault="001704A0" w:rsidP="00F23CDF">
      <w:pPr>
        <w:pStyle w:val="ListParagraph"/>
        <w:tabs>
          <w:tab w:val="left" w:pos="1710"/>
        </w:tabs>
        <w:ind w:left="1710"/>
        <w:rPr>
          <w:sz w:val="24"/>
          <w:szCs w:val="24"/>
        </w:rPr>
      </w:pPr>
      <w:r w:rsidRPr="00CC39F2">
        <w:rPr>
          <w:sz w:val="24"/>
          <w:szCs w:val="24"/>
        </w:rPr>
        <w:tab/>
        <w:t xml:space="preserve">Website: </w:t>
      </w:r>
      <w:hyperlink r:id="rId42" w:history="1">
        <w:r w:rsidRPr="00CC39F2">
          <w:rPr>
            <w:rStyle w:val="Hyperlink"/>
            <w:sz w:val="24"/>
            <w:szCs w:val="24"/>
          </w:rPr>
          <w:t>www.dra.gov.pk</w:t>
        </w:r>
      </w:hyperlink>
      <w:r w:rsidRPr="00CC39F2">
        <w:rPr>
          <w:sz w:val="24"/>
          <w:szCs w:val="24"/>
        </w:rPr>
        <w:t xml:space="preserve"> </w:t>
      </w:r>
    </w:p>
    <w:p w14:paraId="5A5678CF" w14:textId="77777777" w:rsidR="00CD6D41" w:rsidRDefault="00CD6D41" w:rsidP="00162F30">
      <w:pPr>
        <w:tabs>
          <w:tab w:val="left" w:pos="540"/>
        </w:tabs>
        <w:spacing w:before="120" w:after="120" w:line="360" w:lineRule="auto"/>
        <w:jc w:val="both"/>
        <w:rPr>
          <w:bCs/>
          <w:sz w:val="24"/>
          <w:szCs w:val="24"/>
        </w:rPr>
      </w:pPr>
    </w:p>
    <w:p w14:paraId="1AF72142" w14:textId="4087B0DB" w:rsidR="00A23567" w:rsidRPr="00162F30" w:rsidRDefault="001704A0" w:rsidP="00162F30">
      <w:pPr>
        <w:tabs>
          <w:tab w:val="left" w:pos="540"/>
        </w:tabs>
        <w:spacing w:before="120" w:after="120" w:line="360" w:lineRule="auto"/>
        <w:ind w:left="540"/>
        <w:jc w:val="both"/>
        <w:rPr>
          <w:bCs/>
          <w:sz w:val="24"/>
          <w:szCs w:val="24"/>
        </w:rPr>
      </w:pPr>
      <w:r>
        <w:rPr>
          <w:bCs/>
          <w:sz w:val="24"/>
          <w:szCs w:val="24"/>
        </w:rPr>
        <w:t>F</w:t>
      </w:r>
      <w:r w:rsidR="00463834" w:rsidRPr="00CA6572">
        <w:rPr>
          <w:bCs/>
          <w:sz w:val="24"/>
          <w:szCs w:val="24"/>
        </w:rPr>
        <w:t>ollowing are the points to be filled in the said reporting form.</w:t>
      </w:r>
      <w:bookmarkStart w:id="37" w:name="_Toc93069578"/>
      <w:bookmarkStart w:id="38" w:name="_Toc99534847"/>
    </w:p>
    <w:p w14:paraId="105C5FBD" w14:textId="5821A413" w:rsidR="00A23567" w:rsidRPr="001C1EE0" w:rsidRDefault="00A23567" w:rsidP="00B551AA">
      <w:pPr>
        <w:pStyle w:val="ListParagraph"/>
        <w:numPr>
          <w:ilvl w:val="0"/>
          <w:numId w:val="74"/>
        </w:numPr>
        <w:spacing w:after="120"/>
        <w:ind w:firstLine="0"/>
        <w:contextualSpacing w:val="0"/>
        <w:rPr>
          <w:i/>
          <w:iCs/>
        </w:rPr>
      </w:pPr>
      <w:r w:rsidRPr="00BE1DBD">
        <w:rPr>
          <w:i/>
          <w:iCs/>
          <w:sz w:val="26"/>
          <w:szCs w:val="26"/>
        </w:rPr>
        <w:lastRenderedPageBreak/>
        <w:t>Patient Information</w:t>
      </w:r>
      <w:bookmarkEnd w:id="37"/>
      <w:bookmarkEnd w:id="38"/>
    </w:p>
    <w:p w14:paraId="42D18251" w14:textId="4F96A31A" w:rsidR="00A23567" w:rsidRPr="00CA6572" w:rsidRDefault="00A23567" w:rsidP="00B551AA">
      <w:pPr>
        <w:pStyle w:val="ListParagraph"/>
        <w:widowControl/>
        <w:numPr>
          <w:ilvl w:val="0"/>
          <w:numId w:val="31"/>
        </w:numPr>
        <w:tabs>
          <w:tab w:val="left" w:pos="1260"/>
          <w:tab w:val="left" w:pos="1530"/>
        </w:tabs>
        <w:spacing w:after="120" w:line="360" w:lineRule="auto"/>
        <w:ind w:left="1440" w:hanging="270"/>
        <w:contextualSpacing w:val="0"/>
        <w:jc w:val="both"/>
        <w:rPr>
          <w:bCs/>
          <w:sz w:val="24"/>
          <w:szCs w:val="24"/>
        </w:rPr>
      </w:pPr>
      <w:r w:rsidRPr="00CA6572">
        <w:rPr>
          <w:bCs/>
          <w:i/>
          <w:sz w:val="24"/>
          <w:szCs w:val="24"/>
          <w:u w:val="single"/>
        </w:rPr>
        <w:t>Patient Initial or Name</w:t>
      </w:r>
      <w:r w:rsidRPr="00CA6572">
        <w:rPr>
          <w:bCs/>
          <w:sz w:val="24"/>
          <w:szCs w:val="24"/>
          <w:u w:val="single"/>
        </w:rPr>
        <w:t>:</w:t>
      </w:r>
      <w:r w:rsidRPr="00CA6572">
        <w:rPr>
          <w:bCs/>
          <w:sz w:val="24"/>
          <w:szCs w:val="24"/>
        </w:rPr>
        <w:t xml:space="preserve">  write </w:t>
      </w:r>
      <w:r>
        <w:rPr>
          <w:bCs/>
          <w:sz w:val="24"/>
          <w:szCs w:val="24"/>
        </w:rPr>
        <w:t xml:space="preserve">the </w:t>
      </w:r>
      <w:r w:rsidRPr="00CA6572">
        <w:rPr>
          <w:bCs/>
          <w:sz w:val="24"/>
          <w:szCs w:val="24"/>
        </w:rPr>
        <w:t xml:space="preserve">initials of </w:t>
      </w:r>
      <w:r>
        <w:rPr>
          <w:bCs/>
          <w:sz w:val="24"/>
          <w:szCs w:val="24"/>
        </w:rPr>
        <w:t xml:space="preserve">a </w:t>
      </w:r>
      <w:r w:rsidRPr="00CA6572">
        <w:rPr>
          <w:bCs/>
          <w:sz w:val="24"/>
          <w:szCs w:val="24"/>
        </w:rPr>
        <w:t>patient</w:t>
      </w:r>
      <w:r>
        <w:rPr>
          <w:bCs/>
          <w:sz w:val="24"/>
          <w:szCs w:val="24"/>
        </w:rPr>
        <w:t>'s</w:t>
      </w:r>
      <w:r w:rsidRPr="00CA6572">
        <w:rPr>
          <w:bCs/>
          <w:sz w:val="24"/>
          <w:szCs w:val="24"/>
        </w:rPr>
        <w:t xml:space="preserve"> name for example “MA” for Muhammad </w:t>
      </w:r>
      <w:proofErr w:type="spellStart"/>
      <w:r w:rsidRPr="00CA6572">
        <w:rPr>
          <w:bCs/>
          <w:sz w:val="24"/>
          <w:szCs w:val="24"/>
        </w:rPr>
        <w:t>Arif</w:t>
      </w:r>
      <w:proofErr w:type="spellEnd"/>
      <w:r w:rsidRPr="00CA6572">
        <w:rPr>
          <w:bCs/>
          <w:sz w:val="24"/>
          <w:szCs w:val="24"/>
        </w:rPr>
        <w:t xml:space="preserve"> or can write </w:t>
      </w:r>
      <w:r>
        <w:rPr>
          <w:bCs/>
          <w:sz w:val="24"/>
          <w:szCs w:val="24"/>
        </w:rPr>
        <w:t xml:space="preserve">their </w:t>
      </w:r>
      <w:r w:rsidRPr="00CA6572">
        <w:rPr>
          <w:bCs/>
          <w:sz w:val="24"/>
          <w:szCs w:val="24"/>
        </w:rPr>
        <w:t>full name. If healthcare professional</w:t>
      </w:r>
      <w:r>
        <w:rPr>
          <w:bCs/>
          <w:sz w:val="24"/>
          <w:szCs w:val="24"/>
        </w:rPr>
        <w:t>s</w:t>
      </w:r>
      <w:r w:rsidRPr="00CA6572">
        <w:rPr>
          <w:bCs/>
          <w:sz w:val="24"/>
          <w:szCs w:val="24"/>
        </w:rPr>
        <w:t xml:space="preserve"> provide full name</w:t>
      </w:r>
      <w:r>
        <w:rPr>
          <w:bCs/>
          <w:sz w:val="24"/>
          <w:szCs w:val="24"/>
        </w:rPr>
        <w:t>s</w:t>
      </w:r>
      <w:r w:rsidRPr="00CA6572">
        <w:rPr>
          <w:bCs/>
          <w:sz w:val="24"/>
          <w:szCs w:val="24"/>
        </w:rPr>
        <w:t xml:space="preserve"> it would be kept confidential.</w:t>
      </w:r>
    </w:p>
    <w:p w14:paraId="7A814127" w14:textId="77777777" w:rsidR="00A23567" w:rsidRPr="00CA6572" w:rsidRDefault="00A23567" w:rsidP="00B551AA">
      <w:pPr>
        <w:pStyle w:val="ListParagraph"/>
        <w:widowControl/>
        <w:numPr>
          <w:ilvl w:val="0"/>
          <w:numId w:val="31"/>
        </w:numPr>
        <w:tabs>
          <w:tab w:val="left" w:pos="1260"/>
          <w:tab w:val="left" w:pos="1530"/>
        </w:tabs>
        <w:spacing w:after="120" w:line="360" w:lineRule="auto"/>
        <w:ind w:left="1440" w:hanging="270"/>
        <w:contextualSpacing w:val="0"/>
        <w:jc w:val="both"/>
        <w:rPr>
          <w:bCs/>
          <w:sz w:val="24"/>
          <w:szCs w:val="24"/>
        </w:rPr>
      </w:pPr>
      <w:r w:rsidRPr="00CA6572">
        <w:rPr>
          <w:bCs/>
          <w:i/>
          <w:sz w:val="24"/>
          <w:szCs w:val="24"/>
          <w:u w:val="single"/>
        </w:rPr>
        <w:t>Identification Number</w:t>
      </w:r>
      <w:r w:rsidRPr="00CA6572">
        <w:rPr>
          <w:bCs/>
          <w:sz w:val="24"/>
          <w:szCs w:val="24"/>
          <w:u w:val="single"/>
        </w:rPr>
        <w:t xml:space="preserve">: </w:t>
      </w:r>
      <w:r w:rsidRPr="00CA6572">
        <w:rPr>
          <w:bCs/>
          <w:sz w:val="24"/>
          <w:szCs w:val="24"/>
        </w:rPr>
        <w:t xml:space="preserve"> Hospital or ward admission number</w:t>
      </w:r>
      <w:r>
        <w:rPr>
          <w:bCs/>
          <w:sz w:val="24"/>
          <w:szCs w:val="24"/>
        </w:rPr>
        <w:t>s</w:t>
      </w:r>
      <w:r w:rsidRPr="00CA6572">
        <w:rPr>
          <w:bCs/>
          <w:sz w:val="24"/>
          <w:szCs w:val="24"/>
        </w:rPr>
        <w:t xml:space="preserve"> can be provided so that healthcare professional</w:t>
      </w:r>
      <w:r>
        <w:rPr>
          <w:bCs/>
          <w:sz w:val="24"/>
          <w:szCs w:val="24"/>
        </w:rPr>
        <w:t>s</w:t>
      </w:r>
      <w:r w:rsidRPr="00CA6572">
        <w:rPr>
          <w:bCs/>
          <w:sz w:val="24"/>
          <w:szCs w:val="24"/>
        </w:rPr>
        <w:t xml:space="preserve"> can easily access patient files in case follow</w:t>
      </w:r>
      <w:r>
        <w:rPr>
          <w:bCs/>
          <w:sz w:val="24"/>
          <w:szCs w:val="24"/>
        </w:rPr>
        <w:t>-</w:t>
      </w:r>
      <w:r w:rsidRPr="00CA6572">
        <w:rPr>
          <w:bCs/>
          <w:sz w:val="24"/>
          <w:szCs w:val="24"/>
        </w:rPr>
        <w:t>up information is required.</w:t>
      </w:r>
    </w:p>
    <w:p w14:paraId="4BAD6C4E" w14:textId="77777777" w:rsidR="00A23567" w:rsidRPr="00CA6572" w:rsidRDefault="00A23567" w:rsidP="00B551AA">
      <w:pPr>
        <w:pStyle w:val="ListParagraph"/>
        <w:widowControl/>
        <w:numPr>
          <w:ilvl w:val="0"/>
          <w:numId w:val="31"/>
        </w:numPr>
        <w:tabs>
          <w:tab w:val="left" w:pos="1260"/>
          <w:tab w:val="left" w:pos="1530"/>
        </w:tabs>
        <w:spacing w:after="120" w:line="360" w:lineRule="auto"/>
        <w:ind w:left="1440" w:hanging="270"/>
        <w:contextualSpacing w:val="0"/>
        <w:jc w:val="both"/>
        <w:rPr>
          <w:bCs/>
          <w:sz w:val="24"/>
          <w:szCs w:val="24"/>
        </w:rPr>
      </w:pPr>
      <w:r w:rsidRPr="00CA6572">
        <w:rPr>
          <w:bCs/>
          <w:i/>
          <w:sz w:val="24"/>
          <w:szCs w:val="24"/>
          <w:u w:val="single"/>
        </w:rPr>
        <w:t>Sex</w:t>
      </w:r>
      <w:r w:rsidRPr="00CA6572">
        <w:rPr>
          <w:bCs/>
          <w:sz w:val="24"/>
          <w:szCs w:val="24"/>
          <w:u w:val="single"/>
        </w:rPr>
        <w:t>:</w:t>
      </w:r>
      <w:r w:rsidRPr="00CA6572">
        <w:rPr>
          <w:bCs/>
          <w:sz w:val="24"/>
          <w:szCs w:val="24"/>
        </w:rPr>
        <w:t xml:space="preserve"> Mention the gender of </w:t>
      </w:r>
      <w:r>
        <w:rPr>
          <w:bCs/>
          <w:sz w:val="24"/>
          <w:szCs w:val="24"/>
        </w:rPr>
        <w:t xml:space="preserve">the </w:t>
      </w:r>
      <w:r w:rsidRPr="00CA6572">
        <w:rPr>
          <w:bCs/>
          <w:sz w:val="24"/>
          <w:szCs w:val="24"/>
        </w:rPr>
        <w:t xml:space="preserve">patient. If the patient is female, then </w:t>
      </w:r>
      <w:r>
        <w:rPr>
          <w:bCs/>
          <w:sz w:val="24"/>
          <w:szCs w:val="24"/>
        </w:rPr>
        <w:t xml:space="preserve">the </w:t>
      </w:r>
      <w:r w:rsidRPr="00CA6572">
        <w:rPr>
          <w:bCs/>
          <w:sz w:val="24"/>
          <w:szCs w:val="24"/>
        </w:rPr>
        <w:t xml:space="preserve">healthcare professional must provide information, </w:t>
      </w:r>
      <w:r>
        <w:rPr>
          <w:bCs/>
          <w:sz w:val="24"/>
          <w:szCs w:val="24"/>
        </w:rPr>
        <w:t xml:space="preserve">about </w:t>
      </w:r>
      <w:r w:rsidRPr="00CA6572">
        <w:rPr>
          <w:bCs/>
          <w:sz w:val="24"/>
          <w:szCs w:val="24"/>
        </w:rPr>
        <w:t>whether she is pregnant or not.</w:t>
      </w:r>
    </w:p>
    <w:p w14:paraId="0A0E88E3" w14:textId="3E182A47" w:rsidR="00A23567" w:rsidRPr="00E045AB" w:rsidRDefault="00A23567" w:rsidP="00B551AA">
      <w:pPr>
        <w:pStyle w:val="ListParagraph"/>
        <w:widowControl/>
        <w:numPr>
          <w:ilvl w:val="0"/>
          <w:numId w:val="31"/>
        </w:numPr>
        <w:tabs>
          <w:tab w:val="left" w:pos="1260"/>
          <w:tab w:val="left" w:pos="1530"/>
        </w:tabs>
        <w:spacing w:after="120" w:line="360" w:lineRule="auto"/>
        <w:ind w:left="1440" w:hanging="270"/>
        <w:contextualSpacing w:val="0"/>
        <w:jc w:val="both"/>
        <w:rPr>
          <w:bCs/>
          <w:sz w:val="24"/>
          <w:szCs w:val="24"/>
        </w:rPr>
      </w:pPr>
      <w:r w:rsidRPr="00CA6572">
        <w:rPr>
          <w:bCs/>
          <w:i/>
          <w:sz w:val="24"/>
          <w:szCs w:val="24"/>
          <w:u w:val="single"/>
        </w:rPr>
        <w:t>Age</w:t>
      </w:r>
      <w:r w:rsidRPr="00CA6572">
        <w:rPr>
          <w:bCs/>
          <w:sz w:val="24"/>
          <w:szCs w:val="24"/>
          <w:u w:val="single"/>
        </w:rPr>
        <w:t xml:space="preserve"> </w:t>
      </w:r>
      <w:r w:rsidRPr="00CA6572">
        <w:rPr>
          <w:bCs/>
          <w:i/>
          <w:sz w:val="24"/>
          <w:szCs w:val="24"/>
          <w:u w:val="single"/>
        </w:rPr>
        <w:t>at the time o</w:t>
      </w:r>
      <w:r w:rsidRPr="001A0393">
        <w:rPr>
          <w:bCs/>
          <w:i/>
          <w:sz w:val="24"/>
          <w:szCs w:val="24"/>
          <w:u w:val="single"/>
        </w:rPr>
        <w:t>f reaction or event:</w:t>
      </w:r>
      <w:r w:rsidRPr="001A0393">
        <w:rPr>
          <w:bCs/>
          <w:i/>
          <w:sz w:val="24"/>
          <w:szCs w:val="24"/>
        </w:rPr>
        <w:t xml:space="preserve"> </w:t>
      </w:r>
      <w:r w:rsidRPr="001A0393">
        <w:rPr>
          <w:bCs/>
          <w:sz w:val="24"/>
          <w:szCs w:val="24"/>
        </w:rPr>
        <w:t>The</w:t>
      </w:r>
      <w:r>
        <w:rPr>
          <w:bCs/>
          <w:sz w:val="24"/>
          <w:szCs w:val="24"/>
        </w:rPr>
        <w:t xml:space="preserve"> a</w:t>
      </w:r>
      <w:r w:rsidRPr="00CA6572">
        <w:rPr>
          <w:bCs/>
          <w:sz w:val="24"/>
          <w:szCs w:val="24"/>
        </w:rPr>
        <w:t xml:space="preserve">ge of </w:t>
      </w:r>
      <w:r>
        <w:rPr>
          <w:bCs/>
          <w:sz w:val="24"/>
          <w:szCs w:val="24"/>
        </w:rPr>
        <w:t xml:space="preserve">the </w:t>
      </w:r>
      <w:r w:rsidRPr="00CA6572">
        <w:rPr>
          <w:bCs/>
          <w:sz w:val="24"/>
          <w:szCs w:val="24"/>
        </w:rPr>
        <w:t xml:space="preserve">patient should be provided in this section along with </w:t>
      </w:r>
      <w:r>
        <w:rPr>
          <w:bCs/>
          <w:sz w:val="24"/>
          <w:szCs w:val="24"/>
        </w:rPr>
        <w:t xml:space="preserve">a </w:t>
      </w:r>
      <w:r w:rsidRPr="00CA6572">
        <w:rPr>
          <w:bCs/>
          <w:sz w:val="24"/>
          <w:szCs w:val="24"/>
        </w:rPr>
        <w:t>proper unit for example hours, days, weeks, month</w:t>
      </w:r>
      <w:r>
        <w:rPr>
          <w:bCs/>
          <w:sz w:val="24"/>
          <w:szCs w:val="24"/>
        </w:rPr>
        <w:t>s</w:t>
      </w:r>
      <w:r w:rsidRPr="00CA6572">
        <w:rPr>
          <w:bCs/>
          <w:sz w:val="24"/>
          <w:szCs w:val="24"/>
        </w:rPr>
        <w:t xml:space="preserve">, years etc. Suppose an infant is of 8 hours then the reporter needs to mention </w:t>
      </w:r>
      <w:r>
        <w:rPr>
          <w:bCs/>
          <w:sz w:val="24"/>
          <w:szCs w:val="24"/>
        </w:rPr>
        <w:t xml:space="preserve">the </w:t>
      </w:r>
      <w:r w:rsidRPr="00CA6572">
        <w:rPr>
          <w:bCs/>
          <w:sz w:val="24"/>
          <w:szCs w:val="24"/>
        </w:rPr>
        <w:t xml:space="preserve">hours unit with </w:t>
      </w:r>
      <w:r>
        <w:rPr>
          <w:bCs/>
          <w:sz w:val="24"/>
          <w:szCs w:val="24"/>
        </w:rPr>
        <w:t xml:space="preserve">a </w:t>
      </w:r>
      <w:r w:rsidRPr="00CA6572">
        <w:rPr>
          <w:bCs/>
          <w:sz w:val="24"/>
          <w:szCs w:val="24"/>
        </w:rPr>
        <w:t>numerical value.</w:t>
      </w:r>
    </w:p>
    <w:p w14:paraId="0D263CCE" w14:textId="27CE5E8F" w:rsidR="000854AC" w:rsidRPr="000854AC" w:rsidRDefault="00A23567" w:rsidP="00B551AA">
      <w:pPr>
        <w:pStyle w:val="ListParagraph"/>
        <w:numPr>
          <w:ilvl w:val="0"/>
          <w:numId w:val="74"/>
        </w:numPr>
        <w:spacing w:after="120"/>
        <w:ind w:firstLine="0"/>
        <w:contextualSpacing w:val="0"/>
        <w:rPr>
          <w:i/>
          <w:iCs/>
          <w:sz w:val="26"/>
          <w:szCs w:val="26"/>
        </w:rPr>
      </w:pPr>
      <w:bookmarkStart w:id="39" w:name="_Toc93069579"/>
      <w:bookmarkStart w:id="40" w:name="_Toc99534848"/>
      <w:r w:rsidRPr="000854AC">
        <w:rPr>
          <w:i/>
          <w:iCs/>
          <w:sz w:val="26"/>
          <w:szCs w:val="26"/>
        </w:rPr>
        <w:t>Suspected Drug (s)/Vaccine (s)/ Alternative Medicine(s)</w:t>
      </w:r>
      <w:bookmarkEnd w:id="39"/>
      <w:bookmarkEnd w:id="40"/>
    </w:p>
    <w:p w14:paraId="530AA9B4" w14:textId="77777777" w:rsidR="00A23567" w:rsidRPr="00CA6572" w:rsidRDefault="00A23567" w:rsidP="00B551AA">
      <w:pPr>
        <w:pStyle w:val="ListParagraph"/>
        <w:widowControl/>
        <w:numPr>
          <w:ilvl w:val="0"/>
          <w:numId w:val="33"/>
        </w:numPr>
        <w:tabs>
          <w:tab w:val="left" w:pos="270"/>
        </w:tabs>
        <w:spacing w:after="120" w:line="360" w:lineRule="auto"/>
        <w:ind w:left="1440" w:hanging="270"/>
        <w:contextualSpacing w:val="0"/>
        <w:jc w:val="both"/>
        <w:rPr>
          <w:bCs/>
          <w:sz w:val="24"/>
          <w:szCs w:val="24"/>
        </w:rPr>
      </w:pPr>
      <w:r w:rsidRPr="00CA6572">
        <w:rPr>
          <w:bCs/>
          <w:i/>
          <w:sz w:val="24"/>
          <w:szCs w:val="24"/>
          <w:u w:val="single"/>
        </w:rPr>
        <w:t>Drug/ Vaccine/Alternative Medicine Name</w:t>
      </w:r>
      <w:r w:rsidRPr="00CA6572">
        <w:rPr>
          <w:bCs/>
          <w:i/>
          <w:sz w:val="24"/>
          <w:szCs w:val="24"/>
        </w:rPr>
        <w:t xml:space="preserve">: </w:t>
      </w:r>
      <w:r w:rsidRPr="00CA6572">
        <w:rPr>
          <w:bCs/>
          <w:sz w:val="24"/>
          <w:szCs w:val="24"/>
        </w:rPr>
        <w:t>Both generic and brand shall be provide</w:t>
      </w:r>
      <w:r>
        <w:rPr>
          <w:bCs/>
          <w:sz w:val="24"/>
          <w:szCs w:val="24"/>
        </w:rPr>
        <w:t>d</w:t>
      </w:r>
      <w:r w:rsidRPr="00CA6572">
        <w:rPr>
          <w:bCs/>
          <w:sz w:val="24"/>
          <w:szCs w:val="24"/>
        </w:rPr>
        <w:t>.</w:t>
      </w:r>
    </w:p>
    <w:p w14:paraId="5B1D2F03" w14:textId="77777777" w:rsidR="00A23567" w:rsidRPr="00CA6572" w:rsidRDefault="00A23567" w:rsidP="00B551AA">
      <w:pPr>
        <w:pStyle w:val="ListParagraph"/>
        <w:widowControl/>
        <w:numPr>
          <w:ilvl w:val="0"/>
          <w:numId w:val="33"/>
        </w:numPr>
        <w:tabs>
          <w:tab w:val="left" w:pos="270"/>
        </w:tabs>
        <w:spacing w:after="120" w:line="360" w:lineRule="auto"/>
        <w:ind w:left="1440" w:hanging="270"/>
        <w:contextualSpacing w:val="0"/>
        <w:jc w:val="both"/>
        <w:rPr>
          <w:bCs/>
          <w:sz w:val="24"/>
          <w:szCs w:val="24"/>
        </w:rPr>
      </w:pPr>
      <w:r w:rsidRPr="00CA6572">
        <w:rPr>
          <w:bCs/>
          <w:sz w:val="24"/>
          <w:szCs w:val="24"/>
          <w:u w:val="single"/>
        </w:rPr>
        <w:t>Batch No:</w:t>
      </w:r>
      <w:r w:rsidRPr="00CA6572">
        <w:rPr>
          <w:bCs/>
          <w:sz w:val="24"/>
          <w:szCs w:val="24"/>
        </w:rPr>
        <w:t xml:space="preserve"> Batch number shall be provided in case the drug has </w:t>
      </w:r>
      <w:r>
        <w:rPr>
          <w:bCs/>
          <w:sz w:val="24"/>
          <w:szCs w:val="24"/>
        </w:rPr>
        <w:t xml:space="preserve">a </w:t>
      </w:r>
      <w:r w:rsidRPr="00CA6572">
        <w:rPr>
          <w:bCs/>
          <w:sz w:val="24"/>
          <w:szCs w:val="24"/>
        </w:rPr>
        <w:t>quality problem, it would be helpful to trace the drug and recall it.</w:t>
      </w:r>
    </w:p>
    <w:p w14:paraId="09A17104" w14:textId="77777777" w:rsidR="00A23567" w:rsidRPr="00CA6572" w:rsidRDefault="00A23567" w:rsidP="00B551AA">
      <w:pPr>
        <w:pStyle w:val="ListParagraph"/>
        <w:widowControl/>
        <w:numPr>
          <w:ilvl w:val="0"/>
          <w:numId w:val="33"/>
        </w:numPr>
        <w:tabs>
          <w:tab w:val="left" w:pos="270"/>
        </w:tabs>
        <w:spacing w:after="120" w:line="360" w:lineRule="auto"/>
        <w:ind w:left="1440" w:hanging="270"/>
        <w:contextualSpacing w:val="0"/>
        <w:jc w:val="both"/>
        <w:rPr>
          <w:bCs/>
          <w:i/>
          <w:sz w:val="24"/>
          <w:szCs w:val="24"/>
        </w:rPr>
      </w:pPr>
      <w:r w:rsidRPr="00CA6572">
        <w:rPr>
          <w:bCs/>
          <w:i/>
          <w:sz w:val="24"/>
          <w:szCs w:val="24"/>
          <w:u w:val="single"/>
        </w:rPr>
        <w:t>Manufacturer Importer:</w:t>
      </w:r>
      <w:r w:rsidRPr="00CA6572">
        <w:rPr>
          <w:bCs/>
          <w:i/>
          <w:sz w:val="24"/>
          <w:szCs w:val="24"/>
        </w:rPr>
        <w:t xml:space="preserve"> </w:t>
      </w:r>
      <w:r w:rsidRPr="00CA6572">
        <w:rPr>
          <w:bCs/>
          <w:sz w:val="24"/>
          <w:szCs w:val="24"/>
        </w:rPr>
        <w:t xml:space="preserve">If the reporter has provided </w:t>
      </w:r>
      <w:r>
        <w:rPr>
          <w:bCs/>
          <w:sz w:val="24"/>
          <w:szCs w:val="24"/>
        </w:rPr>
        <w:t xml:space="preserve">a </w:t>
      </w:r>
      <w:r w:rsidRPr="00CA6572">
        <w:rPr>
          <w:bCs/>
          <w:sz w:val="24"/>
          <w:szCs w:val="24"/>
        </w:rPr>
        <w:t xml:space="preserve">generic name then he must provide details of </w:t>
      </w:r>
      <w:r>
        <w:rPr>
          <w:bCs/>
          <w:sz w:val="24"/>
          <w:szCs w:val="24"/>
        </w:rPr>
        <w:t xml:space="preserve">the </w:t>
      </w:r>
      <w:r w:rsidRPr="00CA6572">
        <w:rPr>
          <w:bCs/>
          <w:sz w:val="24"/>
          <w:szCs w:val="24"/>
        </w:rPr>
        <w:t>manufacturer/ importer.</w:t>
      </w:r>
    </w:p>
    <w:p w14:paraId="117961A6" w14:textId="77777777" w:rsidR="00A23567" w:rsidRPr="00CA6572" w:rsidRDefault="00A23567" w:rsidP="00B551AA">
      <w:pPr>
        <w:pStyle w:val="ListParagraph"/>
        <w:widowControl/>
        <w:numPr>
          <w:ilvl w:val="0"/>
          <w:numId w:val="33"/>
        </w:numPr>
        <w:tabs>
          <w:tab w:val="left" w:pos="270"/>
        </w:tabs>
        <w:spacing w:after="120" w:line="360" w:lineRule="auto"/>
        <w:ind w:left="1440" w:hanging="270"/>
        <w:contextualSpacing w:val="0"/>
        <w:jc w:val="both"/>
        <w:rPr>
          <w:bCs/>
          <w:sz w:val="24"/>
          <w:szCs w:val="24"/>
        </w:rPr>
      </w:pPr>
      <w:r w:rsidRPr="00CA6572">
        <w:rPr>
          <w:bCs/>
          <w:i/>
          <w:sz w:val="24"/>
          <w:szCs w:val="24"/>
          <w:u w:val="single"/>
        </w:rPr>
        <w:t>Route of Administration and daily doses</w:t>
      </w:r>
      <w:r w:rsidRPr="00CA6572">
        <w:rPr>
          <w:bCs/>
          <w:i/>
          <w:sz w:val="24"/>
          <w:szCs w:val="24"/>
        </w:rPr>
        <w:t xml:space="preserve">: </w:t>
      </w:r>
      <w:r w:rsidRPr="00CA6572">
        <w:rPr>
          <w:bCs/>
          <w:sz w:val="24"/>
          <w:szCs w:val="24"/>
        </w:rPr>
        <w:t>Route through which the drug was given</w:t>
      </w:r>
    </w:p>
    <w:p w14:paraId="78A3E3CF" w14:textId="77777777" w:rsidR="00A23567" w:rsidRPr="00CA6572" w:rsidRDefault="00A23567" w:rsidP="00B551AA">
      <w:pPr>
        <w:pStyle w:val="ListParagraph"/>
        <w:widowControl/>
        <w:numPr>
          <w:ilvl w:val="0"/>
          <w:numId w:val="33"/>
        </w:numPr>
        <w:tabs>
          <w:tab w:val="left" w:pos="270"/>
        </w:tabs>
        <w:spacing w:after="120" w:line="360" w:lineRule="auto"/>
        <w:ind w:left="1440" w:hanging="270"/>
        <w:contextualSpacing w:val="0"/>
        <w:jc w:val="both"/>
        <w:rPr>
          <w:bCs/>
          <w:i/>
          <w:sz w:val="24"/>
          <w:szCs w:val="24"/>
          <w:u w:val="single"/>
        </w:rPr>
      </w:pPr>
      <w:r w:rsidRPr="00CA6572">
        <w:rPr>
          <w:bCs/>
          <w:i/>
          <w:sz w:val="24"/>
          <w:szCs w:val="24"/>
          <w:u w:val="single"/>
        </w:rPr>
        <w:t>Dosage and Strength:</w:t>
      </w:r>
    </w:p>
    <w:p w14:paraId="4267797B" w14:textId="77777777" w:rsidR="00A23567" w:rsidRPr="00CA6572" w:rsidRDefault="00A23567" w:rsidP="00B551AA">
      <w:pPr>
        <w:pStyle w:val="ListParagraph"/>
        <w:widowControl/>
        <w:numPr>
          <w:ilvl w:val="0"/>
          <w:numId w:val="33"/>
        </w:numPr>
        <w:tabs>
          <w:tab w:val="left" w:pos="270"/>
        </w:tabs>
        <w:spacing w:after="120" w:line="360" w:lineRule="auto"/>
        <w:ind w:left="1440" w:hanging="270"/>
        <w:contextualSpacing w:val="0"/>
        <w:jc w:val="both"/>
        <w:rPr>
          <w:bCs/>
          <w:i/>
          <w:sz w:val="24"/>
          <w:szCs w:val="24"/>
        </w:rPr>
      </w:pPr>
      <w:r w:rsidRPr="00CA6572">
        <w:rPr>
          <w:bCs/>
          <w:i/>
          <w:sz w:val="24"/>
          <w:szCs w:val="24"/>
          <w:u w:val="single"/>
        </w:rPr>
        <w:t>Start date: administration date of the drug.</w:t>
      </w:r>
      <w:r w:rsidRPr="00CA6572">
        <w:rPr>
          <w:bCs/>
          <w:i/>
          <w:sz w:val="24"/>
          <w:szCs w:val="24"/>
        </w:rPr>
        <w:t xml:space="preserve"> </w:t>
      </w:r>
      <w:r w:rsidRPr="00CA6572">
        <w:rPr>
          <w:bCs/>
          <w:sz w:val="24"/>
          <w:szCs w:val="24"/>
        </w:rPr>
        <w:t xml:space="preserve">It would be helpful to build </w:t>
      </w:r>
      <w:r>
        <w:rPr>
          <w:bCs/>
          <w:sz w:val="24"/>
          <w:szCs w:val="24"/>
        </w:rPr>
        <w:t xml:space="preserve">a </w:t>
      </w:r>
      <w:r w:rsidRPr="00CA6572">
        <w:rPr>
          <w:bCs/>
          <w:sz w:val="24"/>
          <w:szCs w:val="24"/>
        </w:rPr>
        <w:t xml:space="preserve">relationship between the drug and </w:t>
      </w:r>
      <w:r>
        <w:rPr>
          <w:bCs/>
          <w:sz w:val="24"/>
          <w:szCs w:val="24"/>
        </w:rPr>
        <w:t xml:space="preserve">the </w:t>
      </w:r>
      <w:r w:rsidRPr="00CA6572">
        <w:rPr>
          <w:bCs/>
          <w:sz w:val="24"/>
          <w:szCs w:val="24"/>
        </w:rPr>
        <w:t xml:space="preserve">event and will determine </w:t>
      </w:r>
      <w:r>
        <w:rPr>
          <w:bCs/>
          <w:sz w:val="24"/>
          <w:szCs w:val="24"/>
        </w:rPr>
        <w:t xml:space="preserve">a </w:t>
      </w:r>
      <w:r w:rsidRPr="00CA6572">
        <w:rPr>
          <w:bCs/>
          <w:sz w:val="24"/>
          <w:szCs w:val="24"/>
        </w:rPr>
        <w:t>time to onset of reaction.</w:t>
      </w:r>
    </w:p>
    <w:p w14:paraId="16AC3223" w14:textId="77777777" w:rsidR="00A23567" w:rsidRPr="00CA6572" w:rsidRDefault="00A23567" w:rsidP="00B551AA">
      <w:pPr>
        <w:pStyle w:val="ListParagraph"/>
        <w:widowControl/>
        <w:numPr>
          <w:ilvl w:val="0"/>
          <w:numId w:val="33"/>
        </w:numPr>
        <w:tabs>
          <w:tab w:val="left" w:pos="270"/>
        </w:tabs>
        <w:spacing w:after="120" w:line="360" w:lineRule="auto"/>
        <w:ind w:left="1440" w:hanging="270"/>
        <w:contextualSpacing w:val="0"/>
        <w:jc w:val="both"/>
        <w:rPr>
          <w:bCs/>
          <w:i/>
          <w:sz w:val="24"/>
          <w:szCs w:val="24"/>
        </w:rPr>
      </w:pPr>
      <w:r w:rsidRPr="00CA6572">
        <w:rPr>
          <w:bCs/>
          <w:i/>
          <w:sz w:val="24"/>
          <w:szCs w:val="24"/>
          <w:u w:val="single"/>
        </w:rPr>
        <w:t xml:space="preserve">Stop Date: </w:t>
      </w:r>
      <w:r w:rsidRPr="00C119BE">
        <w:rPr>
          <w:bCs/>
          <w:i/>
          <w:sz w:val="24"/>
          <w:szCs w:val="24"/>
        </w:rPr>
        <w:t>when the drug was withdrawn</w:t>
      </w:r>
      <w:r w:rsidRPr="00CA6572">
        <w:rPr>
          <w:bCs/>
          <w:i/>
          <w:sz w:val="24"/>
          <w:szCs w:val="24"/>
        </w:rPr>
        <w:t xml:space="preserve">. </w:t>
      </w:r>
      <w:r w:rsidRPr="00CA6572">
        <w:rPr>
          <w:bCs/>
          <w:sz w:val="24"/>
          <w:szCs w:val="24"/>
        </w:rPr>
        <w:t xml:space="preserve">It would also help in </w:t>
      </w:r>
      <w:r>
        <w:rPr>
          <w:bCs/>
          <w:sz w:val="24"/>
          <w:szCs w:val="24"/>
        </w:rPr>
        <w:t xml:space="preserve">the </w:t>
      </w:r>
      <w:r w:rsidRPr="00CA6572">
        <w:rPr>
          <w:bCs/>
          <w:sz w:val="24"/>
          <w:szCs w:val="24"/>
        </w:rPr>
        <w:t xml:space="preserve">assessment of reports by providing information on </w:t>
      </w:r>
      <w:r>
        <w:rPr>
          <w:bCs/>
          <w:sz w:val="24"/>
          <w:szCs w:val="24"/>
        </w:rPr>
        <w:t xml:space="preserve">the </w:t>
      </w:r>
      <w:r w:rsidRPr="00CA6572">
        <w:rPr>
          <w:bCs/>
          <w:sz w:val="24"/>
          <w:szCs w:val="24"/>
        </w:rPr>
        <w:t>De</w:t>
      </w:r>
      <w:r>
        <w:rPr>
          <w:bCs/>
          <w:sz w:val="24"/>
          <w:szCs w:val="24"/>
        </w:rPr>
        <w:t>-</w:t>
      </w:r>
      <w:r w:rsidRPr="00CA6572">
        <w:rPr>
          <w:bCs/>
          <w:sz w:val="24"/>
          <w:szCs w:val="24"/>
        </w:rPr>
        <w:t xml:space="preserve">challenge of </w:t>
      </w:r>
      <w:r>
        <w:rPr>
          <w:bCs/>
          <w:sz w:val="24"/>
          <w:szCs w:val="24"/>
        </w:rPr>
        <w:t xml:space="preserve">a </w:t>
      </w:r>
      <w:r w:rsidRPr="00CA6572">
        <w:rPr>
          <w:bCs/>
          <w:sz w:val="24"/>
          <w:szCs w:val="24"/>
        </w:rPr>
        <w:t>drug.</w:t>
      </w:r>
    </w:p>
    <w:p w14:paraId="284233FD" w14:textId="028FD465" w:rsidR="00A23567" w:rsidRPr="000854AC" w:rsidRDefault="00A23567" w:rsidP="00B551AA">
      <w:pPr>
        <w:pStyle w:val="ListParagraph"/>
        <w:widowControl/>
        <w:numPr>
          <w:ilvl w:val="0"/>
          <w:numId w:val="33"/>
        </w:numPr>
        <w:tabs>
          <w:tab w:val="left" w:pos="270"/>
        </w:tabs>
        <w:spacing w:after="120" w:line="360" w:lineRule="auto"/>
        <w:ind w:left="1440" w:hanging="270"/>
        <w:contextualSpacing w:val="0"/>
        <w:jc w:val="both"/>
        <w:rPr>
          <w:bCs/>
          <w:i/>
          <w:sz w:val="24"/>
          <w:szCs w:val="24"/>
        </w:rPr>
      </w:pPr>
      <w:r w:rsidRPr="00CA6572">
        <w:rPr>
          <w:bCs/>
          <w:i/>
          <w:sz w:val="24"/>
          <w:szCs w:val="24"/>
          <w:u w:val="single"/>
        </w:rPr>
        <w:t>Prescribed for</w:t>
      </w:r>
      <w:r w:rsidRPr="00CA6572">
        <w:rPr>
          <w:bCs/>
          <w:i/>
          <w:sz w:val="24"/>
          <w:szCs w:val="24"/>
        </w:rPr>
        <w:t xml:space="preserve">: </w:t>
      </w:r>
      <w:r w:rsidRPr="00CA6572">
        <w:rPr>
          <w:bCs/>
          <w:sz w:val="24"/>
          <w:szCs w:val="24"/>
        </w:rPr>
        <w:t>The indication for which the drug was administered.</w:t>
      </w:r>
    </w:p>
    <w:p w14:paraId="57A7E9B4" w14:textId="309A2871" w:rsidR="00A23567" w:rsidRPr="000854AC" w:rsidRDefault="00A23567" w:rsidP="00B551AA">
      <w:pPr>
        <w:pStyle w:val="ListParagraph"/>
        <w:numPr>
          <w:ilvl w:val="0"/>
          <w:numId w:val="74"/>
        </w:numPr>
        <w:ind w:firstLine="0"/>
        <w:rPr>
          <w:i/>
          <w:sz w:val="26"/>
          <w:szCs w:val="26"/>
        </w:rPr>
      </w:pPr>
      <w:bookmarkStart w:id="41" w:name="_Toc93069580"/>
      <w:bookmarkStart w:id="42" w:name="_Toc99534849"/>
      <w:r w:rsidRPr="000854AC">
        <w:rPr>
          <w:i/>
          <w:sz w:val="26"/>
          <w:szCs w:val="26"/>
        </w:rPr>
        <w:t>Suspected Reaction (s)</w:t>
      </w:r>
      <w:bookmarkEnd w:id="41"/>
      <w:bookmarkEnd w:id="42"/>
    </w:p>
    <w:p w14:paraId="5FBD8065" w14:textId="77777777" w:rsidR="00A23567" w:rsidRPr="00CA6572"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sz w:val="24"/>
          <w:szCs w:val="24"/>
        </w:rPr>
      </w:pPr>
      <w:r w:rsidRPr="00CA6572">
        <w:rPr>
          <w:bCs/>
          <w:i/>
          <w:sz w:val="24"/>
          <w:szCs w:val="24"/>
          <w:u w:val="single"/>
        </w:rPr>
        <w:lastRenderedPageBreak/>
        <w:t>When Reaction started:</w:t>
      </w:r>
      <w:r w:rsidRPr="00CA6572">
        <w:rPr>
          <w:bCs/>
          <w:i/>
          <w:sz w:val="24"/>
          <w:szCs w:val="24"/>
        </w:rPr>
        <w:t xml:space="preserve"> </w:t>
      </w:r>
      <w:r w:rsidRPr="00CA6572">
        <w:rPr>
          <w:bCs/>
          <w:sz w:val="24"/>
          <w:szCs w:val="24"/>
        </w:rPr>
        <w:t xml:space="preserve"> Mention the date on which reaction started, it would be helpful to determine the casual relationship of reaction with drug and will determine the time to onset of reaction.</w:t>
      </w:r>
    </w:p>
    <w:p w14:paraId="03F39303" w14:textId="77777777" w:rsidR="00A23567" w:rsidRPr="00CA6572"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sz w:val="24"/>
          <w:szCs w:val="24"/>
        </w:rPr>
      </w:pPr>
      <w:r w:rsidRPr="00CA6572">
        <w:rPr>
          <w:bCs/>
          <w:i/>
          <w:sz w:val="24"/>
          <w:szCs w:val="24"/>
          <w:u w:val="single"/>
        </w:rPr>
        <w:t>When Recovery Started</w:t>
      </w:r>
      <w:r w:rsidRPr="00CA6572">
        <w:rPr>
          <w:bCs/>
          <w:i/>
          <w:sz w:val="24"/>
          <w:szCs w:val="24"/>
        </w:rPr>
        <w:t xml:space="preserve">: </w:t>
      </w:r>
      <w:r w:rsidRPr="00CA6572">
        <w:rPr>
          <w:bCs/>
          <w:sz w:val="24"/>
          <w:szCs w:val="24"/>
        </w:rPr>
        <w:t>Mention the date on which the reaction ended or recovery started, it would be helpful to determine whether the reaction subside</w:t>
      </w:r>
      <w:r>
        <w:rPr>
          <w:bCs/>
          <w:sz w:val="24"/>
          <w:szCs w:val="24"/>
        </w:rPr>
        <w:t>s</w:t>
      </w:r>
      <w:r w:rsidRPr="00CA6572">
        <w:rPr>
          <w:bCs/>
          <w:sz w:val="24"/>
          <w:szCs w:val="24"/>
        </w:rPr>
        <w:t xml:space="preserve"> when the suspected medicine is stopped.</w:t>
      </w:r>
    </w:p>
    <w:p w14:paraId="325B9848" w14:textId="77777777" w:rsidR="00A23567" w:rsidRPr="006B70ED"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sz w:val="24"/>
          <w:szCs w:val="24"/>
        </w:rPr>
      </w:pPr>
      <w:r w:rsidRPr="00CA6572">
        <w:rPr>
          <w:bCs/>
          <w:i/>
          <w:color w:val="000000"/>
          <w:sz w:val="24"/>
          <w:szCs w:val="24"/>
          <w:u w:val="single"/>
        </w:rPr>
        <w:t>Describe the reaction(s</w:t>
      </w:r>
      <w:r w:rsidRPr="00CA6572">
        <w:rPr>
          <w:bCs/>
          <w:i/>
          <w:color w:val="000000"/>
          <w:sz w:val="24"/>
          <w:szCs w:val="24"/>
        </w:rPr>
        <w:t xml:space="preserve">): </w:t>
      </w:r>
      <w:r w:rsidRPr="00651B0D">
        <w:rPr>
          <w:bCs/>
          <w:iCs/>
          <w:color w:val="000000"/>
          <w:sz w:val="24"/>
          <w:szCs w:val="24"/>
        </w:rPr>
        <w:t xml:space="preserve">Complete narrative/ description of </w:t>
      </w:r>
      <w:r>
        <w:rPr>
          <w:bCs/>
          <w:iCs/>
          <w:color w:val="000000"/>
          <w:sz w:val="24"/>
          <w:szCs w:val="24"/>
        </w:rPr>
        <w:t xml:space="preserve">the </w:t>
      </w:r>
      <w:r w:rsidRPr="00651B0D">
        <w:rPr>
          <w:bCs/>
          <w:iCs/>
          <w:color w:val="000000"/>
          <w:sz w:val="24"/>
          <w:szCs w:val="24"/>
        </w:rPr>
        <w:t xml:space="preserve">reaction should be provided; </w:t>
      </w:r>
      <w:r>
        <w:rPr>
          <w:bCs/>
          <w:iCs/>
          <w:color w:val="000000"/>
          <w:sz w:val="24"/>
          <w:szCs w:val="24"/>
        </w:rPr>
        <w:t>how</w:t>
      </w:r>
      <w:r w:rsidRPr="00651B0D">
        <w:rPr>
          <w:bCs/>
          <w:iCs/>
          <w:color w:val="000000"/>
          <w:sz w:val="24"/>
          <w:szCs w:val="24"/>
        </w:rPr>
        <w:t xml:space="preserve"> the patient developed the reaction, nature, localization etc.</w:t>
      </w:r>
    </w:p>
    <w:p w14:paraId="7EEDD2DA" w14:textId="77777777" w:rsidR="00A23567" w:rsidRPr="008C63D2"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color w:val="000000" w:themeColor="text1"/>
          <w:sz w:val="24"/>
          <w:szCs w:val="24"/>
        </w:rPr>
      </w:pPr>
      <w:r w:rsidRPr="008C63D2">
        <w:rPr>
          <w:bCs/>
          <w:i/>
          <w:color w:val="000000" w:themeColor="text1"/>
          <w:sz w:val="24"/>
          <w:szCs w:val="24"/>
          <w:u w:val="single"/>
        </w:rPr>
        <w:t>Details of treatment given for management of ADR</w:t>
      </w:r>
      <w:r w:rsidRPr="008C63D2">
        <w:rPr>
          <w:bCs/>
          <w:i/>
          <w:color w:val="000000" w:themeColor="text1"/>
          <w:sz w:val="24"/>
          <w:szCs w:val="24"/>
        </w:rPr>
        <w:t xml:space="preserve">: </w:t>
      </w:r>
      <w:r w:rsidRPr="008C63D2">
        <w:rPr>
          <w:bCs/>
          <w:iCs/>
          <w:color w:val="000000" w:themeColor="text1"/>
          <w:sz w:val="24"/>
          <w:szCs w:val="24"/>
        </w:rPr>
        <w:t>If any treatment is provided for the management of ADR, then please provide in the section of the case narrative/description of the reaction, complete details of treatment including name, strength, dose and route etc.</w:t>
      </w:r>
    </w:p>
    <w:p w14:paraId="04BEE717" w14:textId="77777777" w:rsidR="00A23567" w:rsidRPr="008C63D2"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color w:val="000000" w:themeColor="text1"/>
          <w:sz w:val="24"/>
          <w:szCs w:val="24"/>
        </w:rPr>
      </w:pPr>
      <w:r w:rsidRPr="008C63D2">
        <w:rPr>
          <w:bCs/>
          <w:i/>
          <w:color w:val="000000" w:themeColor="text1"/>
          <w:sz w:val="24"/>
          <w:szCs w:val="24"/>
          <w:u w:val="single"/>
        </w:rPr>
        <w:t>The outcome of the treatment provided.</w:t>
      </w:r>
      <w:r w:rsidRPr="008C63D2">
        <w:rPr>
          <w:bCs/>
          <w:iCs/>
          <w:color w:val="000000" w:themeColor="text1"/>
          <w:sz w:val="24"/>
          <w:szCs w:val="24"/>
        </w:rPr>
        <w:t xml:space="preserve"> Similarly, the outcome of the treatment provided should also be provided in the section of the case narrative/description. The outcomes such as whether the patient has recovered or is recovering or fatal (lead to death). The outcome of the treatment could also be provided in the outcome section as described below in sub-section k.</w:t>
      </w:r>
    </w:p>
    <w:p w14:paraId="2AB4146E" w14:textId="77777777" w:rsidR="00A23567" w:rsidRPr="00CA6572"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sz w:val="24"/>
          <w:szCs w:val="24"/>
          <w:u w:val="single"/>
        </w:rPr>
      </w:pPr>
      <w:r w:rsidRPr="00CA6572">
        <w:rPr>
          <w:bCs/>
          <w:i/>
          <w:color w:val="000000"/>
          <w:sz w:val="24"/>
          <w:szCs w:val="24"/>
          <w:u w:val="single"/>
        </w:rPr>
        <w:t>Other relevant histor</w:t>
      </w:r>
      <w:r>
        <w:rPr>
          <w:bCs/>
          <w:i/>
          <w:color w:val="000000"/>
          <w:sz w:val="24"/>
          <w:szCs w:val="24"/>
          <w:u w:val="single"/>
        </w:rPr>
        <w:t>ies</w:t>
      </w:r>
      <w:r w:rsidRPr="00CA6572">
        <w:rPr>
          <w:bCs/>
          <w:i/>
          <w:color w:val="000000"/>
          <w:sz w:val="24"/>
          <w:szCs w:val="24"/>
          <w:u w:val="single"/>
        </w:rPr>
        <w:t xml:space="preserve"> of the patient (Allergies, Smoking, Alcohol Use, Hepatic/Renal Problems, and Pre-Existing Medical Problems etc</w:t>
      </w:r>
      <w:r w:rsidRPr="005A0642">
        <w:rPr>
          <w:bCs/>
          <w:iCs/>
          <w:color w:val="000000"/>
          <w:sz w:val="24"/>
          <w:szCs w:val="24"/>
        </w:rPr>
        <w:t>.: Write the relevant history persistent to a patient including pre-existing conditions (allergies, smoking, alcohol use, hepatic or renal dysfunction, surgical procedure, risk factors etc.) and current medical condition if any.</w:t>
      </w:r>
    </w:p>
    <w:p w14:paraId="598086D8" w14:textId="77777777" w:rsidR="00A23567" w:rsidRPr="00CA6572"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sz w:val="24"/>
          <w:szCs w:val="24"/>
        </w:rPr>
      </w:pPr>
      <w:r w:rsidRPr="00E90C96">
        <w:rPr>
          <w:bCs/>
          <w:i/>
          <w:iCs/>
          <w:color w:val="000000"/>
          <w:sz w:val="24"/>
          <w:szCs w:val="24"/>
          <w:u w:val="single"/>
        </w:rPr>
        <w:t>Relevant tests/Laboratory data with dates</w:t>
      </w:r>
      <w:r w:rsidRPr="00CA6572">
        <w:rPr>
          <w:bCs/>
          <w:i/>
          <w:color w:val="000000"/>
          <w:sz w:val="24"/>
          <w:szCs w:val="24"/>
        </w:rPr>
        <w:t xml:space="preserve">: </w:t>
      </w:r>
      <w:r w:rsidRPr="005A0642">
        <w:rPr>
          <w:bCs/>
          <w:iCs/>
          <w:color w:val="000000"/>
          <w:sz w:val="24"/>
          <w:szCs w:val="24"/>
        </w:rPr>
        <w:t>write all tests and procedures performed to diagnose or confirm the reaction/event, including those tests done to investigate a non-drug cause.</w:t>
      </w:r>
    </w:p>
    <w:p w14:paraId="32C1DFDD" w14:textId="77777777" w:rsidR="00A23567" w:rsidRPr="00CA6572" w:rsidRDefault="00A23567" w:rsidP="00B551AA">
      <w:pPr>
        <w:pStyle w:val="ListParagraph"/>
        <w:widowControl/>
        <w:numPr>
          <w:ilvl w:val="0"/>
          <w:numId w:val="32"/>
        </w:numPr>
        <w:tabs>
          <w:tab w:val="left" w:pos="270"/>
          <w:tab w:val="left" w:pos="1440"/>
        </w:tabs>
        <w:spacing w:after="120" w:line="360" w:lineRule="auto"/>
        <w:ind w:left="1440" w:hanging="274"/>
        <w:contextualSpacing w:val="0"/>
        <w:jc w:val="both"/>
        <w:rPr>
          <w:bCs/>
          <w:i/>
          <w:sz w:val="24"/>
          <w:szCs w:val="24"/>
        </w:rPr>
      </w:pPr>
      <w:r>
        <w:rPr>
          <w:bCs/>
          <w:i/>
          <w:sz w:val="24"/>
          <w:szCs w:val="24"/>
          <w:u w:val="single"/>
        </w:rPr>
        <w:t>The s</w:t>
      </w:r>
      <w:r w:rsidRPr="00CA6572">
        <w:rPr>
          <w:bCs/>
          <w:i/>
          <w:sz w:val="24"/>
          <w:szCs w:val="24"/>
          <w:u w:val="single"/>
        </w:rPr>
        <w:t>eriousness of the reaction</w:t>
      </w:r>
      <w:r w:rsidRPr="00CA6572">
        <w:rPr>
          <w:bCs/>
          <w:i/>
          <w:sz w:val="24"/>
          <w:szCs w:val="24"/>
        </w:rPr>
        <w:t xml:space="preserve">: </w:t>
      </w:r>
      <w:r w:rsidRPr="00E90C96">
        <w:rPr>
          <w:bCs/>
          <w:iCs/>
          <w:sz w:val="24"/>
          <w:szCs w:val="24"/>
        </w:rPr>
        <w:t>If the reporter considers the reaction to be serious then he must tick all that apply out of the following:</w:t>
      </w:r>
    </w:p>
    <w:p w14:paraId="52B6017E" w14:textId="77777777" w:rsidR="00A23567" w:rsidRPr="00CA6572" w:rsidRDefault="00A23567" w:rsidP="00B551AA">
      <w:pPr>
        <w:pStyle w:val="ListParagraph"/>
        <w:widowControl/>
        <w:numPr>
          <w:ilvl w:val="0"/>
          <w:numId w:val="36"/>
        </w:numPr>
        <w:tabs>
          <w:tab w:val="left" w:pos="270"/>
        </w:tabs>
        <w:spacing w:after="120" w:line="360" w:lineRule="auto"/>
        <w:ind w:left="3060"/>
        <w:contextualSpacing w:val="0"/>
        <w:jc w:val="both"/>
        <w:rPr>
          <w:bCs/>
          <w:i/>
          <w:sz w:val="24"/>
          <w:szCs w:val="24"/>
        </w:rPr>
      </w:pPr>
      <w:r w:rsidRPr="00CA6572">
        <w:rPr>
          <w:bCs/>
          <w:i/>
          <w:sz w:val="24"/>
          <w:szCs w:val="24"/>
        </w:rPr>
        <w:t>Patient Died</w:t>
      </w:r>
      <w:r w:rsidRPr="00CA6572">
        <w:rPr>
          <w:bCs/>
          <w:sz w:val="24"/>
          <w:szCs w:val="24"/>
        </w:rPr>
        <w:t xml:space="preserve">:  If </w:t>
      </w:r>
      <w:r w:rsidRPr="00E90C96">
        <w:rPr>
          <w:bCs/>
          <w:sz w:val="24"/>
          <w:szCs w:val="24"/>
        </w:rPr>
        <w:t>the patient died due to an adverse event. It would be appropriate to mention the cause of death in the reaction narrative along with the date of death.</w:t>
      </w:r>
    </w:p>
    <w:p w14:paraId="2B64214E" w14:textId="77777777" w:rsidR="00A23567" w:rsidRPr="00CA6572" w:rsidRDefault="00A23567" w:rsidP="00B551AA">
      <w:pPr>
        <w:pStyle w:val="ListParagraph"/>
        <w:widowControl/>
        <w:numPr>
          <w:ilvl w:val="0"/>
          <w:numId w:val="36"/>
        </w:numPr>
        <w:tabs>
          <w:tab w:val="left" w:pos="270"/>
        </w:tabs>
        <w:spacing w:after="120" w:line="360" w:lineRule="auto"/>
        <w:ind w:left="3060"/>
        <w:contextualSpacing w:val="0"/>
        <w:jc w:val="both"/>
        <w:rPr>
          <w:bCs/>
          <w:i/>
          <w:sz w:val="24"/>
          <w:szCs w:val="24"/>
        </w:rPr>
      </w:pPr>
      <w:r w:rsidRPr="00CA6572">
        <w:rPr>
          <w:bCs/>
          <w:i/>
          <w:sz w:val="24"/>
          <w:szCs w:val="24"/>
        </w:rPr>
        <w:lastRenderedPageBreak/>
        <w:t>Life</w:t>
      </w:r>
      <w:r>
        <w:rPr>
          <w:bCs/>
          <w:i/>
          <w:sz w:val="24"/>
          <w:szCs w:val="24"/>
        </w:rPr>
        <w:t>-</w:t>
      </w:r>
      <w:r w:rsidRPr="00CA6572">
        <w:rPr>
          <w:bCs/>
          <w:i/>
          <w:sz w:val="24"/>
          <w:szCs w:val="24"/>
        </w:rPr>
        <w:t xml:space="preserve">Threatening: </w:t>
      </w:r>
      <w:r w:rsidRPr="00CA6572">
        <w:rPr>
          <w:bCs/>
          <w:sz w:val="24"/>
          <w:szCs w:val="24"/>
        </w:rPr>
        <w:t xml:space="preserve"> If the patient was at substantial risk of dying at the time of </w:t>
      </w:r>
      <w:r>
        <w:rPr>
          <w:bCs/>
          <w:sz w:val="24"/>
          <w:szCs w:val="24"/>
        </w:rPr>
        <w:t xml:space="preserve">the </w:t>
      </w:r>
      <w:r w:rsidRPr="00CA6572">
        <w:rPr>
          <w:bCs/>
          <w:sz w:val="24"/>
          <w:szCs w:val="24"/>
        </w:rPr>
        <w:t>adverse event.</w:t>
      </w:r>
    </w:p>
    <w:p w14:paraId="3B5E81B5" w14:textId="77777777" w:rsidR="00A23567" w:rsidRPr="00CA6572" w:rsidRDefault="00A23567" w:rsidP="00B551AA">
      <w:pPr>
        <w:pStyle w:val="ListParagraph"/>
        <w:widowControl/>
        <w:numPr>
          <w:ilvl w:val="0"/>
          <w:numId w:val="36"/>
        </w:numPr>
        <w:tabs>
          <w:tab w:val="left" w:pos="270"/>
        </w:tabs>
        <w:spacing w:after="120" w:line="360" w:lineRule="auto"/>
        <w:ind w:left="3060"/>
        <w:contextualSpacing w:val="0"/>
        <w:jc w:val="both"/>
        <w:rPr>
          <w:bCs/>
          <w:i/>
          <w:sz w:val="24"/>
          <w:szCs w:val="24"/>
        </w:rPr>
      </w:pPr>
      <w:r w:rsidRPr="00CA6572">
        <w:rPr>
          <w:bCs/>
          <w:i/>
          <w:sz w:val="24"/>
          <w:szCs w:val="24"/>
        </w:rPr>
        <w:t xml:space="preserve">Involved or Prolonged Inpatient Hospitalization: </w:t>
      </w:r>
      <w:r w:rsidRPr="00CA6572">
        <w:rPr>
          <w:bCs/>
          <w:sz w:val="24"/>
          <w:szCs w:val="24"/>
        </w:rPr>
        <w:t>If due to adverse the patient was hospitalized or already hospitalized patient</w:t>
      </w:r>
      <w:r>
        <w:rPr>
          <w:bCs/>
          <w:sz w:val="24"/>
          <w:szCs w:val="24"/>
        </w:rPr>
        <w:t>'s</w:t>
      </w:r>
      <w:r w:rsidRPr="00CA6572">
        <w:rPr>
          <w:bCs/>
          <w:sz w:val="24"/>
          <w:szCs w:val="24"/>
        </w:rPr>
        <w:t xml:space="preserve"> stay was prolonged.</w:t>
      </w:r>
    </w:p>
    <w:p w14:paraId="33A2C476" w14:textId="77777777" w:rsidR="00A23567" w:rsidRPr="00CA6572" w:rsidRDefault="00A23567" w:rsidP="00B551AA">
      <w:pPr>
        <w:pStyle w:val="ListParagraph"/>
        <w:widowControl/>
        <w:numPr>
          <w:ilvl w:val="0"/>
          <w:numId w:val="36"/>
        </w:numPr>
        <w:tabs>
          <w:tab w:val="left" w:pos="270"/>
        </w:tabs>
        <w:spacing w:after="120" w:line="360" w:lineRule="auto"/>
        <w:ind w:left="3060"/>
        <w:contextualSpacing w:val="0"/>
        <w:jc w:val="both"/>
        <w:rPr>
          <w:bCs/>
          <w:i/>
          <w:sz w:val="24"/>
          <w:szCs w:val="24"/>
        </w:rPr>
      </w:pPr>
      <w:r w:rsidRPr="00CA6572">
        <w:rPr>
          <w:bCs/>
          <w:i/>
          <w:sz w:val="24"/>
          <w:szCs w:val="24"/>
        </w:rPr>
        <w:t xml:space="preserve">Disability or incapacity: </w:t>
      </w:r>
      <w:r w:rsidRPr="00CA6572">
        <w:rPr>
          <w:bCs/>
          <w:sz w:val="24"/>
          <w:szCs w:val="24"/>
        </w:rPr>
        <w:t xml:space="preserve">If due to </w:t>
      </w:r>
      <w:r>
        <w:rPr>
          <w:bCs/>
          <w:sz w:val="24"/>
          <w:szCs w:val="24"/>
        </w:rPr>
        <w:t xml:space="preserve">an </w:t>
      </w:r>
      <w:r w:rsidRPr="00CA6572">
        <w:rPr>
          <w:bCs/>
          <w:sz w:val="24"/>
          <w:szCs w:val="24"/>
        </w:rPr>
        <w:t xml:space="preserve">adverse event the patient normal life function </w:t>
      </w:r>
      <w:r>
        <w:rPr>
          <w:bCs/>
          <w:sz w:val="24"/>
          <w:szCs w:val="24"/>
        </w:rPr>
        <w:t>is</w:t>
      </w:r>
      <w:r w:rsidRPr="00CA6572">
        <w:rPr>
          <w:bCs/>
          <w:sz w:val="24"/>
          <w:szCs w:val="24"/>
        </w:rPr>
        <w:t xml:space="preserve"> affected.</w:t>
      </w:r>
    </w:p>
    <w:p w14:paraId="0657B631" w14:textId="77777777" w:rsidR="00A23567" w:rsidRPr="00CA6572" w:rsidRDefault="00A23567" w:rsidP="00B551AA">
      <w:pPr>
        <w:pStyle w:val="ListParagraph"/>
        <w:widowControl/>
        <w:numPr>
          <w:ilvl w:val="0"/>
          <w:numId w:val="36"/>
        </w:numPr>
        <w:tabs>
          <w:tab w:val="left" w:pos="270"/>
        </w:tabs>
        <w:spacing w:after="120" w:line="360" w:lineRule="auto"/>
        <w:ind w:left="3060"/>
        <w:contextualSpacing w:val="0"/>
        <w:jc w:val="both"/>
        <w:rPr>
          <w:bCs/>
          <w:i/>
          <w:sz w:val="24"/>
          <w:szCs w:val="24"/>
        </w:rPr>
      </w:pPr>
      <w:r w:rsidRPr="00CA6572">
        <w:rPr>
          <w:bCs/>
          <w:i/>
          <w:sz w:val="24"/>
          <w:szCs w:val="24"/>
        </w:rPr>
        <w:t xml:space="preserve">Congenital Anomaly/ Birth Defect: </w:t>
      </w:r>
      <w:r w:rsidRPr="00CA6572">
        <w:rPr>
          <w:bCs/>
          <w:sz w:val="24"/>
          <w:szCs w:val="24"/>
        </w:rPr>
        <w:t xml:space="preserve">When exposure </w:t>
      </w:r>
      <w:r>
        <w:rPr>
          <w:bCs/>
          <w:sz w:val="24"/>
          <w:szCs w:val="24"/>
        </w:rPr>
        <w:t>to</w:t>
      </w:r>
      <w:r w:rsidRPr="00CA6572">
        <w:rPr>
          <w:bCs/>
          <w:sz w:val="24"/>
          <w:szCs w:val="24"/>
        </w:rPr>
        <w:t xml:space="preserve"> </w:t>
      </w:r>
      <w:r>
        <w:rPr>
          <w:bCs/>
          <w:sz w:val="24"/>
          <w:szCs w:val="24"/>
        </w:rPr>
        <w:t xml:space="preserve">the </w:t>
      </w:r>
      <w:r w:rsidRPr="00CA6572">
        <w:rPr>
          <w:bCs/>
          <w:sz w:val="24"/>
          <w:szCs w:val="24"/>
        </w:rPr>
        <w:t xml:space="preserve">drug during pregnancy has resulted in </w:t>
      </w:r>
      <w:r>
        <w:rPr>
          <w:bCs/>
          <w:sz w:val="24"/>
          <w:szCs w:val="24"/>
        </w:rPr>
        <w:t xml:space="preserve">an </w:t>
      </w:r>
      <w:r w:rsidRPr="00CA6572">
        <w:rPr>
          <w:bCs/>
          <w:sz w:val="24"/>
          <w:szCs w:val="24"/>
        </w:rPr>
        <w:t xml:space="preserve">adverse outcome in the infant in the form </w:t>
      </w:r>
      <w:r>
        <w:rPr>
          <w:bCs/>
          <w:sz w:val="24"/>
          <w:szCs w:val="24"/>
        </w:rPr>
        <w:t xml:space="preserve">of </w:t>
      </w:r>
      <w:r w:rsidRPr="00CA6572">
        <w:rPr>
          <w:bCs/>
          <w:sz w:val="24"/>
          <w:szCs w:val="24"/>
        </w:rPr>
        <w:t>birth defect.</w:t>
      </w:r>
    </w:p>
    <w:p w14:paraId="6DF528AD" w14:textId="77777777" w:rsidR="00A23567" w:rsidRPr="00CA6572" w:rsidRDefault="00A23567" w:rsidP="00B551AA">
      <w:pPr>
        <w:pStyle w:val="ListParagraph"/>
        <w:widowControl/>
        <w:numPr>
          <w:ilvl w:val="0"/>
          <w:numId w:val="36"/>
        </w:numPr>
        <w:tabs>
          <w:tab w:val="left" w:pos="270"/>
        </w:tabs>
        <w:spacing w:after="120" w:line="360" w:lineRule="auto"/>
        <w:ind w:left="3060"/>
        <w:contextualSpacing w:val="0"/>
        <w:jc w:val="both"/>
        <w:rPr>
          <w:bCs/>
          <w:i/>
          <w:sz w:val="24"/>
          <w:szCs w:val="24"/>
        </w:rPr>
      </w:pPr>
      <w:r w:rsidRPr="00CA6572">
        <w:rPr>
          <w:bCs/>
          <w:i/>
          <w:sz w:val="24"/>
          <w:szCs w:val="24"/>
        </w:rPr>
        <w:t>Other serious event</w:t>
      </w:r>
      <w:r>
        <w:rPr>
          <w:bCs/>
          <w:i/>
          <w:sz w:val="24"/>
          <w:szCs w:val="24"/>
        </w:rPr>
        <w:t>s</w:t>
      </w:r>
      <w:r w:rsidRPr="00CA6572">
        <w:rPr>
          <w:bCs/>
          <w:i/>
          <w:sz w:val="24"/>
          <w:szCs w:val="24"/>
        </w:rPr>
        <w:t>:</w:t>
      </w:r>
      <w:r w:rsidRPr="00CA6572">
        <w:rPr>
          <w:rStyle w:val="Heading1Char"/>
        </w:rPr>
        <w:t xml:space="preserve"> </w:t>
      </w:r>
      <w:r w:rsidRPr="00CA6572">
        <w:rPr>
          <w:color w:val="000000"/>
          <w:sz w:val="24"/>
          <w:szCs w:val="24"/>
        </w:rPr>
        <w:t xml:space="preserve">Medical and scientific judgment should be exercised in deciding whether other situations should be considered serious such as important medical events that might not be immediately life-threatening or result in death or hospitalisation but might jeopardise the patient or might require intervention to prevent one of the other outcomes listed in the definition above. Examples of such events are intensive treatment in an emergency room or at home for allergic bronchospasm, blood dyscrasias or convulsions that do not result in hospitalization, or </w:t>
      </w:r>
      <w:r>
        <w:rPr>
          <w:color w:val="000000"/>
          <w:sz w:val="24"/>
          <w:szCs w:val="24"/>
        </w:rPr>
        <w:t xml:space="preserve">the </w:t>
      </w:r>
      <w:r w:rsidRPr="00CA6572">
        <w:rPr>
          <w:color w:val="000000"/>
          <w:sz w:val="24"/>
          <w:szCs w:val="24"/>
        </w:rPr>
        <w:t>development of drug dependency or drug abuse.</w:t>
      </w:r>
    </w:p>
    <w:p w14:paraId="71265B7F" w14:textId="77777777" w:rsidR="00A23567" w:rsidRPr="00CA6572" w:rsidRDefault="00A23567" w:rsidP="00B551AA">
      <w:pPr>
        <w:pStyle w:val="ListParagraph"/>
        <w:widowControl/>
        <w:numPr>
          <w:ilvl w:val="0"/>
          <w:numId w:val="32"/>
        </w:numPr>
        <w:tabs>
          <w:tab w:val="left" w:pos="270"/>
        </w:tabs>
        <w:spacing w:after="120" w:line="360" w:lineRule="auto"/>
        <w:ind w:left="1980"/>
        <w:contextualSpacing w:val="0"/>
        <w:jc w:val="both"/>
        <w:rPr>
          <w:bCs/>
          <w:i/>
          <w:sz w:val="24"/>
          <w:szCs w:val="24"/>
        </w:rPr>
      </w:pPr>
      <w:r w:rsidRPr="00CA6572">
        <w:rPr>
          <w:bCs/>
          <w:i/>
          <w:sz w:val="24"/>
          <w:szCs w:val="24"/>
          <w:u w:val="single"/>
        </w:rPr>
        <w:t>De-challenge details:</w:t>
      </w:r>
      <w:r w:rsidRPr="00CA6572">
        <w:rPr>
          <w:rStyle w:val="Heading1Char"/>
        </w:rPr>
        <w:t xml:space="preserve"> </w:t>
      </w:r>
      <w:r w:rsidRPr="00CA6572">
        <w:rPr>
          <w:color w:val="000000" w:themeColor="text1"/>
          <w:sz w:val="24"/>
          <w:szCs w:val="24"/>
        </w:rPr>
        <w:t>Withdrawal of medicine from a patient following an adverse event.</w:t>
      </w:r>
    </w:p>
    <w:p w14:paraId="679111A4" w14:textId="77777777" w:rsidR="00A23567" w:rsidRPr="007D40B5" w:rsidRDefault="00A23567" w:rsidP="00B551AA">
      <w:pPr>
        <w:pStyle w:val="ListParagraph"/>
        <w:widowControl/>
        <w:numPr>
          <w:ilvl w:val="0"/>
          <w:numId w:val="37"/>
        </w:numPr>
        <w:tabs>
          <w:tab w:val="left" w:pos="270"/>
        </w:tabs>
        <w:spacing w:after="120" w:line="360" w:lineRule="auto"/>
        <w:ind w:left="3150" w:hanging="450"/>
        <w:contextualSpacing w:val="0"/>
        <w:jc w:val="both"/>
        <w:rPr>
          <w:bCs/>
          <w:i/>
          <w:sz w:val="24"/>
          <w:szCs w:val="24"/>
        </w:rPr>
      </w:pPr>
      <w:r w:rsidRPr="007D40B5">
        <w:rPr>
          <w:bCs/>
          <w:i/>
          <w:sz w:val="24"/>
          <w:szCs w:val="24"/>
        </w:rPr>
        <w:t xml:space="preserve">Yes: </w:t>
      </w:r>
      <w:r w:rsidRPr="007D40B5">
        <w:rPr>
          <w:bCs/>
          <w:sz w:val="24"/>
          <w:szCs w:val="24"/>
        </w:rPr>
        <w:t>If reaction abate</w:t>
      </w:r>
      <w:r>
        <w:rPr>
          <w:bCs/>
          <w:sz w:val="24"/>
          <w:szCs w:val="24"/>
        </w:rPr>
        <w:t>s</w:t>
      </w:r>
      <w:r w:rsidRPr="007D40B5">
        <w:rPr>
          <w:bCs/>
          <w:sz w:val="24"/>
          <w:szCs w:val="24"/>
        </w:rPr>
        <w:t>/</w:t>
      </w:r>
      <w:r>
        <w:rPr>
          <w:bCs/>
          <w:sz w:val="24"/>
          <w:szCs w:val="24"/>
        </w:rPr>
        <w:t>subsides</w:t>
      </w:r>
      <w:r w:rsidRPr="007D40B5">
        <w:rPr>
          <w:bCs/>
          <w:sz w:val="24"/>
          <w:szCs w:val="24"/>
        </w:rPr>
        <w:t xml:space="preserve"> after the suspected drug is stopped or </w:t>
      </w:r>
      <w:r>
        <w:rPr>
          <w:bCs/>
          <w:sz w:val="24"/>
          <w:szCs w:val="24"/>
        </w:rPr>
        <w:t xml:space="preserve">the </w:t>
      </w:r>
      <w:r w:rsidRPr="007D40B5">
        <w:rPr>
          <w:bCs/>
          <w:sz w:val="24"/>
          <w:szCs w:val="24"/>
        </w:rPr>
        <w:t>dose reduced.</w:t>
      </w:r>
    </w:p>
    <w:p w14:paraId="435EC02E" w14:textId="77777777" w:rsidR="00A23567" w:rsidRPr="007D40B5" w:rsidRDefault="00A23567" w:rsidP="00B551AA">
      <w:pPr>
        <w:pStyle w:val="ListParagraph"/>
        <w:widowControl/>
        <w:numPr>
          <w:ilvl w:val="0"/>
          <w:numId w:val="37"/>
        </w:numPr>
        <w:tabs>
          <w:tab w:val="left" w:pos="270"/>
        </w:tabs>
        <w:spacing w:after="120" w:line="360" w:lineRule="auto"/>
        <w:ind w:left="3150" w:hanging="450"/>
        <w:contextualSpacing w:val="0"/>
        <w:jc w:val="both"/>
        <w:rPr>
          <w:bCs/>
          <w:i/>
          <w:sz w:val="24"/>
          <w:szCs w:val="24"/>
        </w:rPr>
      </w:pPr>
      <w:r w:rsidRPr="007D40B5">
        <w:rPr>
          <w:bCs/>
          <w:i/>
          <w:sz w:val="24"/>
          <w:szCs w:val="24"/>
        </w:rPr>
        <w:t xml:space="preserve">No: </w:t>
      </w:r>
      <w:r w:rsidRPr="007D40B5">
        <w:rPr>
          <w:bCs/>
          <w:sz w:val="24"/>
          <w:szCs w:val="24"/>
        </w:rPr>
        <w:t xml:space="preserve">If </w:t>
      </w:r>
      <w:r>
        <w:rPr>
          <w:bCs/>
          <w:sz w:val="24"/>
          <w:szCs w:val="24"/>
        </w:rPr>
        <w:t xml:space="preserve">the </w:t>
      </w:r>
      <w:r w:rsidRPr="007D40B5">
        <w:rPr>
          <w:bCs/>
          <w:sz w:val="24"/>
          <w:szCs w:val="24"/>
        </w:rPr>
        <w:t xml:space="preserve">reaction does not abate/ subsides after the suspected drug is stopped or </w:t>
      </w:r>
      <w:r>
        <w:rPr>
          <w:bCs/>
          <w:sz w:val="24"/>
          <w:szCs w:val="24"/>
        </w:rPr>
        <w:t xml:space="preserve">the </w:t>
      </w:r>
      <w:r w:rsidRPr="007D40B5">
        <w:rPr>
          <w:bCs/>
          <w:sz w:val="24"/>
          <w:szCs w:val="24"/>
        </w:rPr>
        <w:t>dose reduced.</w:t>
      </w:r>
    </w:p>
    <w:p w14:paraId="24FF8B5D" w14:textId="77777777" w:rsidR="00A23567" w:rsidRPr="007D40B5" w:rsidRDefault="00A23567" w:rsidP="00B551AA">
      <w:pPr>
        <w:pStyle w:val="ListParagraph"/>
        <w:widowControl/>
        <w:numPr>
          <w:ilvl w:val="0"/>
          <w:numId w:val="37"/>
        </w:numPr>
        <w:tabs>
          <w:tab w:val="left" w:pos="270"/>
        </w:tabs>
        <w:spacing w:after="120" w:line="360" w:lineRule="auto"/>
        <w:ind w:left="3150" w:hanging="450"/>
        <w:contextualSpacing w:val="0"/>
        <w:jc w:val="both"/>
        <w:rPr>
          <w:bCs/>
          <w:i/>
          <w:sz w:val="24"/>
          <w:szCs w:val="24"/>
        </w:rPr>
      </w:pPr>
      <w:r w:rsidRPr="007D40B5">
        <w:rPr>
          <w:bCs/>
          <w:i/>
          <w:sz w:val="24"/>
          <w:szCs w:val="24"/>
        </w:rPr>
        <w:t xml:space="preserve">Does not apply: </w:t>
      </w:r>
      <w:r w:rsidRPr="00175750">
        <w:rPr>
          <w:bCs/>
          <w:iCs/>
          <w:sz w:val="24"/>
          <w:szCs w:val="24"/>
        </w:rPr>
        <w:t xml:space="preserve">If de-challenge is not applicable as in case of vaccines, anaesthesia, where a single dose is given, in case of death, or in </w:t>
      </w:r>
      <w:r>
        <w:rPr>
          <w:bCs/>
          <w:iCs/>
          <w:sz w:val="24"/>
          <w:szCs w:val="24"/>
        </w:rPr>
        <w:t xml:space="preserve">a </w:t>
      </w:r>
      <w:r w:rsidRPr="00175750">
        <w:rPr>
          <w:bCs/>
          <w:iCs/>
          <w:sz w:val="24"/>
          <w:szCs w:val="24"/>
        </w:rPr>
        <w:t xml:space="preserve">case where treatment is completed prior to reaction </w:t>
      </w:r>
      <w:r w:rsidRPr="00175750">
        <w:rPr>
          <w:bCs/>
          <w:iCs/>
          <w:sz w:val="24"/>
          <w:szCs w:val="24"/>
        </w:rPr>
        <w:lastRenderedPageBreak/>
        <w:t xml:space="preserve">or event. De-challenge is also meaningless in </w:t>
      </w:r>
      <w:r>
        <w:rPr>
          <w:bCs/>
          <w:iCs/>
          <w:sz w:val="24"/>
          <w:szCs w:val="24"/>
        </w:rPr>
        <w:t xml:space="preserve">the </w:t>
      </w:r>
      <w:r w:rsidRPr="00175750">
        <w:rPr>
          <w:bCs/>
          <w:iCs/>
          <w:sz w:val="24"/>
          <w:szCs w:val="24"/>
        </w:rPr>
        <w:t>case of myocardial infarction and stroke</w:t>
      </w:r>
      <w:r>
        <w:rPr>
          <w:bCs/>
          <w:iCs/>
          <w:sz w:val="24"/>
          <w:szCs w:val="24"/>
        </w:rPr>
        <w:t>.</w:t>
      </w:r>
      <w:r w:rsidRPr="007D40B5">
        <w:rPr>
          <w:bCs/>
          <w:i/>
          <w:sz w:val="24"/>
          <w:szCs w:val="24"/>
        </w:rPr>
        <w:t xml:space="preserve"> </w:t>
      </w:r>
    </w:p>
    <w:p w14:paraId="7A9242C7" w14:textId="77777777" w:rsidR="00A23567" w:rsidRPr="00CA6572" w:rsidRDefault="00A23567" w:rsidP="00B551AA">
      <w:pPr>
        <w:pStyle w:val="ListParagraph"/>
        <w:widowControl/>
        <w:numPr>
          <w:ilvl w:val="0"/>
          <w:numId w:val="32"/>
        </w:numPr>
        <w:tabs>
          <w:tab w:val="left" w:pos="270"/>
        </w:tabs>
        <w:spacing w:after="120" w:line="360" w:lineRule="auto"/>
        <w:ind w:left="1980"/>
        <w:contextualSpacing w:val="0"/>
        <w:jc w:val="both"/>
        <w:rPr>
          <w:bCs/>
          <w:i/>
          <w:sz w:val="24"/>
          <w:szCs w:val="24"/>
        </w:rPr>
      </w:pPr>
      <w:r w:rsidRPr="00CA6572">
        <w:rPr>
          <w:bCs/>
          <w:i/>
          <w:sz w:val="24"/>
          <w:szCs w:val="24"/>
          <w:u w:val="single"/>
        </w:rPr>
        <w:t>Re-Challenge details</w:t>
      </w:r>
      <w:r w:rsidRPr="00CA6572">
        <w:rPr>
          <w:bCs/>
          <w:i/>
          <w:sz w:val="24"/>
          <w:szCs w:val="24"/>
        </w:rPr>
        <w:t>:</w:t>
      </w:r>
      <w:r w:rsidRPr="00CA6572">
        <w:rPr>
          <w:rStyle w:val="Heading1Char"/>
        </w:rPr>
        <w:t xml:space="preserve"> </w:t>
      </w:r>
      <w:r w:rsidRPr="00CA6572">
        <w:rPr>
          <w:color w:val="000000" w:themeColor="text1"/>
          <w:sz w:val="24"/>
          <w:szCs w:val="24"/>
        </w:rPr>
        <w:t>Reintroduction of the medicine under the same conditions as previously (same dose, form, route of administration), following withdrawal and recovery from the adverse event.</w:t>
      </w:r>
    </w:p>
    <w:p w14:paraId="5818BDE2" w14:textId="77777777" w:rsidR="00A23567" w:rsidRPr="00CA6572" w:rsidRDefault="00A23567" w:rsidP="00B551AA">
      <w:pPr>
        <w:pStyle w:val="ListParagraph"/>
        <w:widowControl/>
        <w:numPr>
          <w:ilvl w:val="0"/>
          <w:numId w:val="37"/>
        </w:numPr>
        <w:tabs>
          <w:tab w:val="left" w:pos="270"/>
        </w:tabs>
        <w:spacing w:after="120" w:line="360" w:lineRule="auto"/>
        <w:ind w:left="3150" w:hanging="450"/>
        <w:contextualSpacing w:val="0"/>
        <w:jc w:val="both"/>
        <w:rPr>
          <w:bCs/>
          <w:i/>
          <w:sz w:val="24"/>
          <w:szCs w:val="24"/>
        </w:rPr>
      </w:pPr>
      <w:r w:rsidRPr="00CA6572">
        <w:rPr>
          <w:bCs/>
          <w:i/>
          <w:sz w:val="24"/>
          <w:szCs w:val="24"/>
        </w:rPr>
        <w:t xml:space="preserve">Yes:  </w:t>
      </w:r>
      <w:r w:rsidRPr="00CA6572">
        <w:rPr>
          <w:bCs/>
          <w:sz w:val="24"/>
          <w:szCs w:val="24"/>
        </w:rPr>
        <w:t>When the suspected drug is reintroduced the reaction again appeared.</w:t>
      </w:r>
    </w:p>
    <w:p w14:paraId="48396F07" w14:textId="77777777" w:rsidR="00A23567" w:rsidRPr="00CA6572" w:rsidRDefault="00A23567" w:rsidP="00B551AA">
      <w:pPr>
        <w:pStyle w:val="ListParagraph"/>
        <w:widowControl/>
        <w:numPr>
          <w:ilvl w:val="0"/>
          <w:numId w:val="37"/>
        </w:numPr>
        <w:tabs>
          <w:tab w:val="left" w:pos="270"/>
        </w:tabs>
        <w:spacing w:after="120" w:line="360" w:lineRule="auto"/>
        <w:ind w:left="3150" w:hanging="450"/>
        <w:contextualSpacing w:val="0"/>
        <w:jc w:val="both"/>
        <w:rPr>
          <w:bCs/>
          <w:i/>
          <w:sz w:val="24"/>
          <w:szCs w:val="24"/>
        </w:rPr>
      </w:pPr>
      <w:r w:rsidRPr="00CA6572">
        <w:rPr>
          <w:bCs/>
          <w:i/>
          <w:sz w:val="24"/>
          <w:szCs w:val="24"/>
        </w:rPr>
        <w:t xml:space="preserve">No:  </w:t>
      </w:r>
      <w:r w:rsidRPr="00CA6572">
        <w:rPr>
          <w:bCs/>
          <w:sz w:val="24"/>
          <w:szCs w:val="24"/>
        </w:rPr>
        <w:t>When the suspected drug is re</w:t>
      </w:r>
      <w:r>
        <w:rPr>
          <w:bCs/>
          <w:sz w:val="24"/>
          <w:szCs w:val="24"/>
        </w:rPr>
        <w:t>-</w:t>
      </w:r>
      <w:r w:rsidRPr="00CA6572">
        <w:rPr>
          <w:bCs/>
          <w:sz w:val="24"/>
          <w:szCs w:val="24"/>
        </w:rPr>
        <w:t>introduced the reaction does not appear.</w:t>
      </w:r>
    </w:p>
    <w:p w14:paraId="5E6536E8" w14:textId="77777777" w:rsidR="00A23567" w:rsidRPr="00C8444E" w:rsidRDefault="00A23567" w:rsidP="00B551AA">
      <w:pPr>
        <w:pStyle w:val="ListParagraph"/>
        <w:widowControl/>
        <w:numPr>
          <w:ilvl w:val="0"/>
          <w:numId w:val="37"/>
        </w:numPr>
        <w:tabs>
          <w:tab w:val="left" w:pos="270"/>
        </w:tabs>
        <w:spacing w:after="120" w:line="360" w:lineRule="auto"/>
        <w:ind w:left="3150" w:hanging="450"/>
        <w:contextualSpacing w:val="0"/>
        <w:jc w:val="both"/>
        <w:rPr>
          <w:bCs/>
          <w:i/>
          <w:sz w:val="24"/>
          <w:szCs w:val="24"/>
        </w:rPr>
      </w:pPr>
      <w:r w:rsidRPr="00CA6572">
        <w:rPr>
          <w:bCs/>
          <w:i/>
          <w:sz w:val="24"/>
          <w:szCs w:val="24"/>
        </w:rPr>
        <w:t xml:space="preserve">Does not apply: </w:t>
      </w:r>
      <w:r w:rsidRPr="00CA6572">
        <w:rPr>
          <w:bCs/>
          <w:sz w:val="24"/>
          <w:szCs w:val="24"/>
        </w:rPr>
        <w:t>If re</w:t>
      </w:r>
      <w:r>
        <w:rPr>
          <w:bCs/>
          <w:sz w:val="24"/>
          <w:szCs w:val="24"/>
        </w:rPr>
        <w:t>-</w:t>
      </w:r>
      <w:r w:rsidRPr="00CA6572">
        <w:rPr>
          <w:bCs/>
          <w:sz w:val="24"/>
          <w:szCs w:val="24"/>
        </w:rPr>
        <w:t xml:space="preserve">challenge is not applicable as in </w:t>
      </w:r>
      <w:r>
        <w:rPr>
          <w:bCs/>
          <w:sz w:val="24"/>
          <w:szCs w:val="24"/>
        </w:rPr>
        <w:t xml:space="preserve">the </w:t>
      </w:r>
      <w:r w:rsidRPr="00CA6572">
        <w:rPr>
          <w:bCs/>
          <w:sz w:val="24"/>
          <w:szCs w:val="24"/>
        </w:rPr>
        <w:t xml:space="preserve">case of </w:t>
      </w:r>
      <w:r w:rsidRPr="00C8444E">
        <w:rPr>
          <w:bCs/>
          <w:sz w:val="24"/>
          <w:szCs w:val="24"/>
        </w:rPr>
        <w:t xml:space="preserve">anaphylaxis. </w:t>
      </w:r>
    </w:p>
    <w:p w14:paraId="6BF85A8A" w14:textId="77777777" w:rsidR="00A23567" w:rsidRPr="00C8444E" w:rsidRDefault="00A23567" w:rsidP="00B551AA">
      <w:pPr>
        <w:pStyle w:val="ListParagraph"/>
        <w:widowControl/>
        <w:numPr>
          <w:ilvl w:val="0"/>
          <w:numId w:val="32"/>
        </w:numPr>
        <w:tabs>
          <w:tab w:val="left" w:pos="270"/>
        </w:tabs>
        <w:spacing w:after="120" w:line="360" w:lineRule="auto"/>
        <w:ind w:left="1980"/>
        <w:contextualSpacing w:val="0"/>
        <w:jc w:val="both"/>
        <w:rPr>
          <w:bCs/>
          <w:i/>
          <w:sz w:val="24"/>
          <w:szCs w:val="24"/>
          <w:u w:val="single"/>
        </w:rPr>
      </w:pPr>
      <w:r>
        <w:rPr>
          <w:bCs/>
          <w:i/>
          <w:sz w:val="24"/>
          <w:szCs w:val="24"/>
          <w:u w:val="single"/>
        </w:rPr>
        <w:t>The o</w:t>
      </w:r>
      <w:r w:rsidRPr="00C8444E">
        <w:rPr>
          <w:bCs/>
          <w:i/>
          <w:sz w:val="24"/>
          <w:szCs w:val="24"/>
          <w:u w:val="single"/>
        </w:rPr>
        <w:t>utcome of the reaction/event and treatment:</w:t>
      </w:r>
    </w:p>
    <w:p w14:paraId="31B64E6E" w14:textId="77777777" w:rsidR="00A23567" w:rsidRPr="00C8444E" w:rsidRDefault="00A23567" w:rsidP="00A23567">
      <w:pPr>
        <w:pStyle w:val="ListParagraph"/>
        <w:widowControl/>
        <w:tabs>
          <w:tab w:val="left" w:pos="270"/>
        </w:tabs>
        <w:spacing w:after="120" w:line="360" w:lineRule="auto"/>
        <w:ind w:left="1713" w:hanging="3"/>
        <w:contextualSpacing w:val="0"/>
        <w:jc w:val="both"/>
        <w:rPr>
          <w:bCs/>
          <w:iCs/>
          <w:sz w:val="24"/>
          <w:szCs w:val="24"/>
        </w:rPr>
      </w:pPr>
      <w:r w:rsidRPr="00C8444E">
        <w:rPr>
          <w:bCs/>
          <w:iCs/>
          <w:sz w:val="24"/>
          <w:szCs w:val="24"/>
        </w:rPr>
        <w:t>Provide details if the suspected drug sto</w:t>
      </w:r>
      <w:r>
        <w:rPr>
          <w:bCs/>
          <w:iCs/>
          <w:sz w:val="24"/>
          <w:szCs w:val="24"/>
        </w:rPr>
        <w:t>p</w:t>
      </w:r>
      <w:r w:rsidRPr="00C8444E">
        <w:rPr>
          <w:bCs/>
          <w:iCs/>
          <w:sz w:val="24"/>
          <w:szCs w:val="24"/>
        </w:rPr>
        <w:t>ped what was the outcome or if the treatment was started what was the outcome.</w:t>
      </w:r>
    </w:p>
    <w:p w14:paraId="39EB93D3" w14:textId="77777777" w:rsidR="00A23567" w:rsidRPr="00C8444E" w:rsidRDefault="00A23567" w:rsidP="00B551AA">
      <w:pPr>
        <w:pStyle w:val="ListParagraph"/>
        <w:widowControl/>
        <w:numPr>
          <w:ilvl w:val="0"/>
          <w:numId w:val="38"/>
        </w:numPr>
        <w:tabs>
          <w:tab w:val="left" w:pos="270"/>
        </w:tabs>
        <w:spacing w:after="120" w:line="360" w:lineRule="auto"/>
        <w:ind w:left="3240" w:hanging="450"/>
        <w:contextualSpacing w:val="0"/>
        <w:jc w:val="both"/>
        <w:rPr>
          <w:bCs/>
          <w:i/>
          <w:sz w:val="24"/>
          <w:szCs w:val="24"/>
        </w:rPr>
      </w:pPr>
      <w:r w:rsidRPr="00C8444E">
        <w:rPr>
          <w:bCs/>
          <w:i/>
          <w:sz w:val="24"/>
          <w:szCs w:val="24"/>
        </w:rPr>
        <w:t xml:space="preserve">Fatal: </w:t>
      </w:r>
      <w:r w:rsidRPr="00C8444E">
        <w:rPr>
          <w:bCs/>
          <w:sz w:val="24"/>
          <w:szCs w:val="24"/>
        </w:rPr>
        <w:t>If the patient dies.</w:t>
      </w:r>
    </w:p>
    <w:p w14:paraId="1D92D288" w14:textId="77777777" w:rsidR="00A23567" w:rsidRPr="00C8444E" w:rsidRDefault="00A23567" w:rsidP="00B551AA">
      <w:pPr>
        <w:pStyle w:val="ListParagraph"/>
        <w:widowControl/>
        <w:numPr>
          <w:ilvl w:val="0"/>
          <w:numId w:val="38"/>
        </w:numPr>
        <w:tabs>
          <w:tab w:val="left" w:pos="270"/>
        </w:tabs>
        <w:spacing w:after="120" w:line="360" w:lineRule="auto"/>
        <w:ind w:left="3240" w:hanging="450"/>
        <w:contextualSpacing w:val="0"/>
        <w:jc w:val="both"/>
        <w:rPr>
          <w:bCs/>
          <w:i/>
          <w:sz w:val="24"/>
          <w:szCs w:val="24"/>
        </w:rPr>
      </w:pPr>
      <w:r w:rsidRPr="00C8444E">
        <w:rPr>
          <w:bCs/>
          <w:i/>
          <w:sz w:val="24"/>
          <w:szCs w:val="24"/>
        </w:rPr>
        <w:t xml:space="preserve">Recovering: </w:t>
      </w:r>
      <w:r w:rsidRPr="00C8444E">
        <w:rPr>
          <w:bCs/>
          <w:sz w:val="24"/>
          <w:szCs w:val="24"/>
        </w:rPr>
        <w:t>If the patient is recovering from the reaction.</w:t>
      </w:r>
    </w:p>
    <w:p w14:paraId="24A36CD2" w14:textId="77777777" w:rsidR="00A23567" w:rsidRPr="00C8444E" w:rsidRDefault="00A23567" w:rsidP="00B551AA">
      <w:pPr>
        <w:pStyle w:val="ListParagraph"/>
        <w:widowControl/>
        <w:numPr>
          <w:ilvl w:val="0"/>
          <w:numId w:val="38"/>
        </w:numPr>
        <w:tabs>
          <w:tab w:val="left" w:pos="270"/>
        </w:tabs>
        <w:spacing w:after="120" w:line="360" w:lineRule="auto"/>
        <w:ind w:left="3240" w:hanging="450"/>
        <w:contextualSpacing w:val="0"/>
        <w:jc w:val="both"/>
        <w:rPr>
          <w:bCs/>
          <w:i/>
          <w:sz w:val="24"/>
          <w:szCs w:val="24"/>
        </w:rPr>
      </w:pPr>
      <w:r w:rsidRPr="00C8444E">
        <w:rPr>
          <w:bCs/>
          <w:i/>
          <w:sz w:val="24"/>
          <w:szCs w:val="24"/>
        </w:rPr>
        <w:t xml:space="preserve">Unknown: </w:t>
      </w:r>
      <w:r w:rsidRPr="00C8444E">
        <w:rPr>
          <w:bCs/>
          <w:sz w:val="24"/>
          <w:szCs w:val="24"/>
        </w:rPr>
        <w:t>If the outcome is unknown.</w:t>
      </w:r>
    </w:p>
    <w:p w14:paraId="2C927DB8" w14:textId="77777777" w:rsidR="00A23567" w:rsidRPr="00C8444E" w:rsidRDefault="00A23567" w:rsidP="00B551AA">
      <w:pPr>
        <w:pStyle w:val="ListParagraph"/>
        <w:widowControl/>
        <w:numPr>
          <w:ilvl w:val="0"/>
          <w:numId w:val="38"/>
        </w:numPr>
        <w:tabs>
          <w:tab w:val="left" w:pos="270"/>
        </w:tabs>
        <w:spacing w:after="120" w:line="360" w:lineRule="auto"/>
        <w:ind w:left="3240" w:hanging="450"/>
        <w:contextualSpacing w:val="0"/>
        <w:jc w:val="both"/>
        <w:rPr>
          <w:bCs/>
          <w:i/>
          <w:sz w:val="24"/>
          <w:szCs w:val="24"/>
        </w:rPr>
      </w:pPr>
      <w:r w:rsidRPr="00C8444E">
        <w:rPr>
          <w:bCs/>
          <w:i/>
          <w:sz w:val="24"/>
          <w:szCs w:val="24"/>
        </w:rPr>
        <w:t>Continuing:</w:t>
      </w:r>
      <w:r>
        <w:rPr>
          <w:bCs/>
          <w:i/>
          <w:sz w:val="24"/>
          <w:szCs w:val="24"/>
        </w:rPr>
        <w:t xml:space="preserve"> </w:t>
      </w:r>
      <w:r w:rsidRPr="00C8444E">
        <w:rPr>
          <w:bCs/>
          <w:sz w:val="24"/>
          <w:szCs w:val="24"/>
        </w:rPr>
        <w:t>If the patient is continuing to experience the reaction/event.</w:t>
      </w:r>
    </w:p>
    <w:p w14:paraId="0AEDD5FC" w14:textId="77777777" w:rsidR="00A23567" w:rsidRPr="00C8444E" w:rsidRDefault="00A23567" w:rsidP="00B551AA">
      <w:pPr>
        <w:pStyle w:val="ListParagraph"/>
        <w:widowControl/>
        <w:numPr>
          <w:ilvl w:val="0"/>
          <w:numId w:val="38"/>
        </w:numPr>
        <w:tabs>
          <w:tab w:val="left" w:pos="270"/>
        </w:tabs>
        <w:spacing w:after="120" w:line="360" w:lineRule="auto"/>
        <w:ind w:left="3240" w:hanging="450"/>
        <w:contextualSpacing w:val="0"/>
        <w:jc w:val="both"/>
        <w:rPr>
          <w:bCs/>
          <w:i/>
          <w:sz w:val="24"/>
          <w:szCs w:val="24"/>
        </w:rPr>
      </w:pPr>
      <w:r w:rsidRPr="00C8444E">
        <w:rPr>
          <w:bCs/>
          <w:i/>
          <w:sz w:val="24"/>
          <w:szCs w:val="24"/>
        </w:rPr>
        <w:t xml:space="preserve">Recovered: </w:t>
      </w:r>
      <w:r w:rsidRPr="00C8444E">
        <w:rPr>
          <w:bCs/>
          <w:sz w:val="24"/>
          <w:szCs w:val="24"/>
        </w:rPr>
        <w:t>If the patient has completely recovered from the reaction/event.</w:t>
      </w:r>
    </w:p>
    <w:p w14:paraId="6136EBBA" w14:textId="77777777" w:rsidR="00A23567" w:rsidRPr="00C8444E" w:rsidRDefault="00A23567" w:rsidP="00B551AA">
      <w:pPr>
        <w:pStyle w:val="ListParagraph"/>
        <w:widowControl/>
        <w:numPr>
          <w:ilvl w:val="0"/>
          <w:numId w:val="32"/>
        </w:numPr>
        <w:tabs>
          <w:tab w:val="left" w:pos="270"/>
        </w:tabs>
        <w:spacing w:after="120" w:line="360" w:lineRule="auto"/>
        <w:ind w:left="1980"/>
        <w:contextualSpacing w:val="0"/>
        <w:jc w:val="both"/>
        <w:rPr>
          <w:bCs/>
          <w:i/>
          <w:sz w:val="24"/>
          <w:szCs w:val="24"/>
          <w:u w:val="single"/>
        </w:rPr>
      </w:pPr>
      <w:r w:rsidRPr="00C8444E">
        <w:rPr>
          <w:bCs/>
          <w:i/>
          <w:sz w:val="24"/>
          <w:szCs w:val="24"/>
          <w:u w:val="single"/>
        </w:rPr>
        <w:t>Cause of the Reaction/event:</w:t>
      </w:r>
    </w:p>
    <w:p w14:paraId="12FE2DD8" w14:textId="77777777" w:rsidR="00A23567" w:rsidRPr="00CA6572" w:rsidRDefault="00A23567" w:rsidP="00B551AA">
      <w:pPr>
        <w:pStyle w:val="ListParagraph"/>
        <w:widowControl/>
        <w:numPr>
          <w:ilvl w:val="1"/>
          <w:numId w:val="32"/>
        </w:numPr>
        <w:tabs>
          <w:tab w:val="left" w:pos="270"/>
        </w:tabs>
        <w:spacing w:after="120" w:line="360" w:lineRule="auto"/>
        <w:ind w:left="3240"/>
        <w:contextualSpacing w:val="0"/>
        <w:jc w:val="both"/>
        <w:rPr>
          <w:bCs/>
          <w:i/>
          <w:sz w:val="24"/>
          <w:szCs w:val="24"/>
        </w:rPr>
      </w:pPr>
      <w:r w:rsidRPr="00CA6572">
        <w:rPr>
          <w:bCs/>
          <w:i/>
          <w:sz w:val="24"/>
          <w:szCs w:val="24"/>
        </w:rPr>
        <w:t xml:space="preserve">Quality problem: </w:t>
      </w:r>
      <w:r w:rsidRPr="00CA6572">
        <w:rPr>
          <w:bCs/>
          <w:sz w:val="24"/>
          <w:szCs w:val="24"/>
        </w:rPr>
        <w:t xml:space="preserve">If the reaction </w:t>
      </w:r>
      <w:r>
        <w:rPr>
          <w:bCs/>
          <w:sz w:val="24"/>
          <w:szCs w:val="24"/>
        </w:rPr>
        <w:t xml:space="preserve">the </w:t>
      </w:r>
      <w:r w:rsidRPr="00CA6572">
        <w:rPr>
          <w:bCs/>
          <w:sz w:val="24"/>
          <w:szCs w:val="24"/>
        </w:rPr>
        <w:t xml:space="preserve">patient experience was due to </w:t>
      </w:r>
      <w:r>
        <w:rPr>
          <w:bCs/>
          <w:sz w:val="24"/>
          <w:szCs w:val="24"/>
        </w:rPr>
        <w:t xml:space="preserve">a </w:t>
      </w:r>
      <w:r w:rsidRPr="00CA6572">
        <w:rPr>
          <w:bCs/>
          <w:sz w:val="24"/>
          <w:szCs w:val="24"/>
        </w:rPr>
        <w:t>quality problem. However, healthcare professional</w:t>
      </w:r>
      <w:r>
        <w:rPr>
          <w:bCs/>
          <w:sz w:val="24"/>
          <w:szCs w:val="24"/>
        </w:rPr>
        <w:t>s</w:t>
      </w:r>
      <w:r w:rsidRPr="00CA6572">
        <w:rPr>
          <w:bCs/>
          <w:sz w:val="24"/>
          <w:szCs w:val="24"/>
        </w:rPr>
        <w:t xml:space="preserve"> can also inform NPC about the visible sign of quality defects.</w:t>
      </w:r>
    </w:p>
    <w:p w14:paraId="3C3160D4" w14:textId="77777777" w:rsidR="00A23567" w:rsidRPr="00CA6572" w:rsidRDefault="00A23567" w:rsidP="00B551AA">
      <w:pPr>
        <w:pStyle w:val="ListParagraph"/>
        <w:widowControl/>
        <w:numPr>
          <w:ilvl w:val="1"/>
          <w:numId w:val="32"/>
        </w:numPr>
        <w:tabs>
          <w:tab w:val="left" w:pos="270"/>
        </w:tabs>
        <w:spacing w:after="120" w:line="360" w:lineRule="auto"/>
        <w:ind w:left="3240"/>
        <w:contextualSpacing w:val="0"/>
        <w:jc w:val="both"/>
        <w:rPr>
          <w:bCs/>
          <w:i/>
          <w:sz w:val="24"/>
          <w:szCs w:val="24"/>
        </w:rPr>
      </w:pPr>
      <w:r w:rsidRPr="00CA6572">
        <w:rPr>
          <w:bCs/>
          <w:i/>
          <w:sz w:val="24"/>
          <w:szCs w:val="24"/>
        </w:rPr>
        <w:t xml:space="preserve">Medication Error: </w:t>
      </w:r>
      <w:r w:rsidRPr="00CA6572">
        <w:rPr>
          <w:bCs/>
          <w:sz w:val="24"/>
          <w:szCs w:val="24"/>
        </w:rPr>
        <w:t xml:space="preserve">Inappropriate medication use or patient harm, when the medicine was in </w:t>
      </w:r>
      <w:r>
        <w:rPr>
          <w:bCs/>
          <w:sz w:val="24"/>
          <w:szCs w:val="24"/>
        </w:rPr>
        <w:t xml:space="preserve">the </w:t>
      </w:r>
      <w:r w:rsidRPr="00CA6572">
        <w:rPr>
          <w:bCs/>
          <w:sz w:val="24"/>
          <w:szCs w:val="24"/>
        </w:rPr>
        <w:t xml:space="preserve">control of </w:t>
      </w:r>
      <w:r>
        <w:rPr>
          <w:bCs/>
          <w:sz w:val="24"/>
          <w:szCs w:val="24"/>
        </w:rPr>
        <w:t xml:space="preserve">a </w:t>
      </w:r>
      <w:r w:rsidRPr="00CA6572">
        <w:rPr>
          <w:bCs/>
          <w:sz w:val="24"/>
          <w:szCs w:val="24"/>
        </w:rPr>
        <w:t>healthcare professional or consumer.</w:t>
      </w:r>
    </w:p>
    <w:p w14:paraId="4D5C890B" w14:textId="77777777" w:rsidR="00A23567" w:rsidRPr="00CA6572" w:rsidRDefault="00A23567" w:rsidP="00B551AA">
      <w:pPr>
        <w:pStyle w:val="ListParagraph"/>
        <w:widowControl/>
        <w:numPr>
          <w:ilvl w:val="1"/>
          <w:numId w:val="32"/>
        </w:numPr>
        <w:tabs>
          <w:tab w:val="left" w:pos="270"/>
        </w:tabs>
        <w:spacing w:after="120" w:line="360" w:lineRule="auto"/>
        <w:ind w:left="3240"/>
        <w:contextualSpacing w:val="0"/>
        <w:jc w:val="both"/>
        <w:rPr>
          <w:bCs/>
          <w:i/>
          <w:sz w:val="24"/>
          <w:szCs w:val="24"/>
        </w:rPr>
      </w:pPr>
      <w:r w:rsidRPr="00CA6572">
        <w:rPr>
          <w:bCs/>
          <w:i/>
          <w:sz w:val="24"/>
          <w:szCs w:val="24"/>
        </w:rPr>
        <w:lastRenderedPageBreak/>
        <w:t xml:space="preserve">Adverse Event/ Reaction: </w:t>
      </w:r>
      <w:r w:rsidRPr="00CA6572">
        <w:rPr>
          <w:bCs/>
          <w:sz w:val="24"/>
          <w:szCs w:val="24"/>
        </w:rPr>
        <w:t>if the patient develop</w:t>
      </w:r>
      <w:r>
        <w:rPr>
          <w:bCs/>
          <w:sz w:val="24"/>
          <w:szCs w:val="24"/>
        </w:rPr>
        <w:t>s</w:t>
      </w:r>
      <w:r w:rsidRPr="00CA6572">
        <w:rPr>
          <w:bCs/>
          <w:sz w:val="24"/>
          <w:szCs w:val="24"/>
        </w:rPr>
        <w:t xml:space="preserve"> </w:t>
      </w:r>
      <w:r>
        <w:rPr>
          <w:bCs/>
          <w:sz w:val="24"/>
          <w:szCs w:val="24"/>
        </w:rPr>
        <w:t xml:space="preserve">a </w:t>
      </w:r>
      <w:r w:rsidRPr="00CA6572">
        <w:rPr>
          <w:bCs/>
          <w:sz w:val="24"/>
          <w:szCs w:val="24"/>
        </w:rPr>
        <w:t>reaction or event in spite of the fact that medicine has no quality defect and the healthcare professional does not use the medicine inappropriately.</w:t>
      </w:r>
    </w:p>
    <w:p w14:paraId="226AC9B2" w14:textId="14D2FA6F" w:rsidR="00A23567" w:rsidRPr="000854AC" w:rsidRDefault="00A23567" w:rsidP="00B551AA">
      <w:pPr>
        <w:pStyle w:val="ListParagraph"/>
        <w:widowControl/>
        <w:numPr>
          <w:ilvl w:val="0"/>
          <w:numId w:val="32"/>
        </w:numPr>
        <w:tabs>
          <w:tab w:val="left" w:pos="270"/>
        </w:tabs>
        <w:spacing w:after="120" w:line="360" w:lineRule="auto"/>
        <w:ind w:left="1980"/>
        <w:contextualSpacing w:val="0"/>
        <w:jc w:val="both"/>
        <w:rPr>
          <w:bCs/>
          <w:i/>
          <w:sz w:val="24"/>
          <w:szCs w:val="24"/>
        </w:rPr>
      </w:pPr>
      <w:r w:rsidRPr="00CA6572">
        <w:rPr>
          <w:bCs/>
          <w:i/>
          <w:sz w:val="24"/>
          <w:szCs w:val="24"/>
        </w:rPr>
        <w:t xml:space="preserve"> </w:t>
      </w:r>
      <w:r w:rsidRPr="00CA6572">
        <w:rPr>
          <w:bCs/>
          <w:i/>
          <w:sz w:val="24"/>
          <w:szCs w:val="24"/>
          <w:u w:val="single"/>
        </w:rPr>
        <w:t>Causality Assessment:</w:t>
      </w:r>
      <w:r w:rsidRPr="00CA6572">
        <w:rPr>
          <w:bCs/>
          <w:i/>
          <w:sz w:val="24"/>
          <w:szCs w:val="24"/>
        </w:rPr>
        <w:t xml:space="preserve"> </w:t>
      </w:r>
      <w:r w:rsidRPr="006F1537">
        <w:rPr>
          <w:bCs/>
          <w:iCs/>
          <w:sz w:val="24"/>
          <w:szCs w:val="24"/>
        </w:rPr>
        <w:t>The reporter (if trained) must perform the causality assessment and justify the assessment.</w:t>
      </w:r>
    </w:p>
    <w:p w14:paraId="5EE916F4" w14:textId="5F9BE372" w:rsidR="00A23567" w:rsidRPr="000854AC" w:rsidRDefault="00A23567" w:rsidP="00B551AA">
      <w:pPr>
        <w:pStyle w:val="ListParagraph"/>
        <w:numPr>
          <w:ilvl w:val="0"/>
          <w:numId w:val="74"/>
        </w:numPr>
        <w:spacing w:after="120"/>
        <w:ind w:firstLine="0"/>
        <w:contextualSpacing w:val="0"/>
        <w:rPr>
          <w:i/>
          <w:iCs/>
          <w:sz w:val="24"/>
          <w:szCs w:val="24"/>
        </w:rPr>
      </w:pPr>
      <w:bookmarkStart w:id="43" w:name="_Toc93069581"/>
      <w:bookmarkStart w:id="44" w:name="_Toc99534850"/>
      <w:r w:rsidRPr="000854AC">
        <w:rPr>
          <w:i/>
          <w:iCs/>
          <w:sz w:val="24"/>
          <w:szCs w:val="24"/>
        </w:rPr>
        <w:t>Other Concomitant Drug(s)/ Vaccine (s)/ Alternative Medicines (s)</w:t>
      </w:r>
      <w:bookmarkEnd w:id="43"/>
      <w:bookmarkEnd w:id="44"/>
    </w:p>
    <w:p w14:paraId="0B13664C" w14:textId="24DFA468" w:rsidR="00A23567" w:rsidRPr="000854AC" w:rsidRDefault="00A23567" w:rsidP="000854AC">
      <w:pPr>
        <w:pStyle w:val="ListParagraph"/>
        <w:tabs>
          <w:tab w:val="left" w:pos="270"/>
        </w:tabs>
        <w:spacing w:after="120" w:line="360" w:lineRule="auto"/>
        <w:contextualSpacing w:val="0"/>
        <w:jc w:val="both"/>
        <w:rPr>
          <w:bCs/>
          <w:sz w:val="24"/>
          <w:szCs w:val="24"/>
        </w:rPr>
      </w:pPr>
      <w:r w:rsidRPr="00CA6572">
        <w:rPr>
          <w:bCs/>
          <w:sz w:val="24"/>
          <w:szCs w:val="24"/>
        </w:rPr>
        <w:t xml:space="preserve">Information is </w:t>
      </w:r>
      <w:r>
        <w:rPr>
          <w:bCs/>
          <w:sz w:val="24"/>
          <w:szCs w:val="24"/>
        </w:rPr>
        <w:t xml:space="preserve">the </w:t>
      </w:r>
      <w:r w:rsidRPr="00CA6572">
        <w:rPr>
          <w:bCs/>
          <w:sz w:val="24"/>
          <w:szCs w:val="24"/>
        </w:rPr>
        <w:t xml:space="preserve">same as </w:t>
      </w:r>
      <w:r>
        <w:rPr>
          <w:bCs/>
          <w:sz w:val="24"/>
          <w:szCs w:val="24"/>
        </w:rPr>
        <w:t xml:space="preserve">a </w:t>
      </w:r>
      <w:r w:rsidRPr="00CA6572">
        <w:rPr>
          <w:bCs/>
          <w:sz w:val="24"/>
          <w:szCs w:val="24"/>
        </w:rPr>
        <w:t xml:space="preserve">suspected drug. But, here only the information about the additional medication the patient is using shall be written. </w:t>
      </w:r>
    </w:p>
    <w:p w14:paraId="5637468B" w14:textId="288C8DBD" w:rsidR="00A23567" w:rsidRPr="000854AC" w:rsidRDefault="00A23567" w:rsidP="00B551AA">
      <w:pPr>
        <w:pStyle w:val="ListParagraph"/>
        <w:numPr>
          <w:ilvl w:val="0"/>
          <w:numId w:val="74"/>
        </w:numPr>
        <w:tabs>
          <w:tab w:val="left" w:pos="2250"/>
        </w:tabs>
        <w:spacing w:after="120"/>
        <w:ind w:firstLine="0"/>
        <w:contextualSpacing w:val="0"/>
        <w:rPr>
          <w:i/>
          <w:iCs/>
          <w:sz w:val="26"/>
          <w:szCs w:val="26"/>
        </w:rPr>
      </w:pPr>
      <w:bookmarkStart w:id="45" w:name="_Toc93069582"/>
      <w:bookmarkStart w:id="46" w:name="_Toc99534851"/>
      <w:r w:rsidRPr="000854AC">
        <w:rPr>
          <w:i/>
          <w:iCs/>
          <w:sz w:val="26"/>
          <w:szCs w:val="26"/>
        </w:rPr>
        <w:t>Suspected Medical Devices (s)</w:t>
      </w:r>
      <w:bookmarkEnd w:id="45"/>
      <w:bookmarkEnd w:id="46"/>
    </w:p>
    <w:p w14:paraId="219A2EEB" w14:textId="77777777" w:rsidR="00A23567" w:rsidRPr="00CA6572" w:rsidRDefault="00A23567" w:rsidP="00B551AA">
      <w:pPr>
        <w:pStyle w:val="ListParagraph"/>
        <w:widowControl/>
        <w:numPr>
          <w:ilvl w:val="0"/>
          <w:numId w:val="34"/>
        </w:numPr>
        <w:tabs>
          <w:tab w:val="left" w:pos="270"/>
        </w:tabs>
        <w:spacing w:after="120" w:line="360" w:lineRule="auto"/>
        <w:ind w:left="1080" w:hanging="180"/>
        <w:contextualSpacing w:val="0"/>
        <w:jc w:val="both"/>
        <w:rPr>
          <w:bCs/>
          <w:sz w:val="24"/>
          <w:szCs w:val="24"/>
        </w:rPr>
      </w:pPr>
      <w:r w:rsidRPr="00CA6572">
        <w:rPr>
          <w:bCs/>
          <w:sz w:val="24"/>
          <w:szCs w:val="24"/>
          <w:u w:val="single"/>
        </w:rPr>
        <w:t>Medical Device Common Name/ Brand Name:</w:t>
      </w:r>
      <w:r w:rsidRPr="00CA6572">
        <w:rPr>
          <w:bCs/>
          <w:sz w:val="24"/>
          <w:szCs w:val="24"/>
        </w:rPr>
        <w:t xml:space="preserve"> </w:t>
      </w:r>
      <w:r w:rsidRPr="00CA6572">
        <w:rPr>
          <w:bCs/>
          <w:color w:val="000000" w:themeColor="text1"/>
          <w:sz w:val="24"/>
          <w:szCs w:val="24"/>
        </w:rPr>
        <w:t xml:space="preserve">Brand name </w:t>
      </w:r>
      <w:r w:rsidRPr="00CA6572">
        <w:rPr>
          <w:color w:val="000000" w:themeColor="text1"/>
          <w:sz w:val="24"/>
          <w:szCs w:val="24"/>
          <w:shd w:val="clear" w:color="auto" w:fill="FFFFFF"/>
        </w:rPr>
        <w:t>is on a label attached to a durable device; on a package of a disposable device</w:t>
      </w:r>
      <w:r w:rsidRPr="00CA6572">
        <w:rPr>
          <w:color w:val="000000" w:themeColor="text1"/>
          <w:sz w:val="24"/>
          <w:szCs w:val="24"/>
        </w:rPr>
        <w:t xml:space="preserve">; or </w:t>
      </w:r>
      <w:r w:rsidRPr="00CA6572">
        <w:rPr>
          <w:color w:val="000000" w:themeColor="text1"/>
          <w:sz w:val="24"/>
          <w:szCs w:val="24"/>
          <w:shd w:val="clear" w:color="auto" w:fill="FFFFFF"/>
        </w:rPr>
        <w:t>is on the labelling materials of an implantable device. The generic or common name of the suspect medical device or a general descriptive name (e.g., urological catheter, heart pacemaker, patient restraint). Please do not use broad generic terms such as "catheter", "valve", "screw", etc.</w:t>
      </w:r>
    </w:p>
    <w:p w14:paraId="3306C0D8" w14:textId="77777777" w:rsidR="00A23567" w:rsidRPr="00CA6572" w:rsidRDefault="00A23567" w:rsidP="00B551AA">
      <w:pPr>
        <w:pStyle w:val="ListParagraph"/>
        <w:widowControl/>
        <w:numPr>
          <w:ilvl w:val="0"/>
          <w:numId w:val="34"/>
        </w:numPr>
        <w:tabs>
          <w:tab w:val="left" w:pos="270"/>
        </w:tabs>
        <w:spacing w:after="120" w:line="360" w:lineRule="auto"/>
        <w:ind w:left="1080" w:right="90" w:hanging="180"/>
        <w:contextualSpacing w:val="0"/>
        <w:jc w:val="both"/>
        <w:rPr>
          <w:bCs/>
          <w:sz w:val="24"/>
          <w:szCs w:val="24"/>
        </w:rPr>
      </w:pPr>
      <w:r w:rsidRPr="00CA6572">
        <w:rPr>
          <w:bCs/>
          <w:sz w:val="24"/>
          <w:szCs w:val="24"/>
          <w:u w:val="single"/>
        </w:rPr>
        <w:t>Lot No/ Batch Name:</w:t>
      </w:r>
      <w:r w:rsidRPr="00CA6572">
        <w:rPr>
          <w:color w:val="333333"/>
          <w:sz w:val="24"/>
          <w:szCs w:val="24"/>
          <w:shd w:val="clear" w:color="auto" w:fill="FFFFFF"/>
        </w:rPr>
        <w:t xml:space="preserve"> </w:t>
      </w:r>
      <w:r w:rsidRPr="00CA6572">
        <w:rPr>
          <w:color w:val="000000" w:themeColor="text1"/>
          <w:sz w:val="24"/>
          <w:szCs w:val="24"/>
          <w:shd w:val="clear" w:color="auto" w:fill="FFFFFF"/>
        </w:rPr>
        <w:t>This number can be found on the label or packaging material and help in tracking the devi</w:t>
      </w:r>
      <w:r>
        <w:rPr>
          <w:color w:val="000000" w:themeColor="text1"/>
          <w:sz w:val="24"/>
          <w:szCs w:val="24"/>
          <w:shd w:val="clear" w:color="auto" w:fill="FFFFFF"/>
        </w:rPr>
        <w:t>c</w:t>
      </w:r>
      <w:r w:rsidRPr="00CA6572">
        <w:rPr>
          <w:color w:val="000000" w:themeColor="text1"/>
          <w:sz w:val="24"/>
          <w:szCs w:val="24"/>
          <w:shd w:val="clear" w:color="auto" w:fill="FFFFFF"/>
        </w:rPr>
        <w:t>e in the market and its production record at the time</w:t>
      </w:r>
      <w:r>
        <w:rPr>
          <w:color w:val="000000" w:themeColor="text1"/>
          <w:sz w:val="24"/>
          <w:szCs w:val="24"/>
          <w:shd w:val="clear" w:color="auto" w:fill="FFFFFF"/>
        </w:rPr>
        <w:t xml:space="preserve"> </w:t>
      </w:r>
      <w:r w:rsidRPr="00CA6572">
        <w:rPr>
          <w:color w:val="000000" w:themeColor="text1"/>
          <w:sz w:val="24"/>
          <w:szCs w:val="24"/>
          <w:shd w:val="clear" w:color="auto" w:fill="FFFFFF"/>
        </w:rPr>
        <w:t>of recall.</w:t>
      </w:r>
    </w:p>
    <w:p w14:paraId="2520DF49" w14:textId="77777777" w:rsidR="00A23567" w:rsidRPr="00CA6572" w:rsidRDefault="00A23567" w:rsidP="00B551AA">
      <w:pPr>
        <w:pStyle w:val="ListParagraph"/>
        <w:widowControl/>
        <w:numPr>
          <w:ilvl w:val="0"/>
          <w:numId w:val="34"/>
        </w:numPr>
        <w:tabs>
          <w:tab w:val="left" w:pos="270"/>
        </w:tabs>
        <w:spacing w:after="120" w:line="360" w:lineRule="auto"/>
        <w:ind w:left="1080" w:hanging="180"/>
        <w:contextualSpacing w:val="0"/>
        <w:jc w:val="both"/>
        <w:rPr>
          <w:bCs/>
          <w:sz w:val="24"/>
          <w:szCs w:val="24"/>
          <w:u w:val="single"/>
        </w:rPr>
      </w:pPr>
      <w:r w:rsidRPr="00CA6572">
        <w:rPr>
          <w:bCs/>
          <w:sz w:val="24"/>
          <w:szCs w:val="24"/>
          <w:u w:val="single"/>
        </w:rPr>
        <w:t>Manufacturer/ Importer:</w:t>
      </w:r>
    </w:p>
    <w:p w14:paraId="7922AB90" w14:textId="77777777" w:rsidR="00A23567" w:rsidRPr="000535B6" w:rsidRDefault="00A23567" w:rsidP="00B551AA">
      <w:pPr>
        <w:pStyle w:val="ListParagraph"/>
        <w:widowControl/>
        <w:numPr>
          <w:ilvl w:val="0"/>
          <w:numId w:val="34"/>
        </w:numPr>
        <w:tabs>
          <w:tab w:val="left" w:pos="270"/>
        </w:tabs>
        <w:spacing w:after="120" w:line="360" w:lineRule="auto"/>
        <w:ind w:left="1080" w:hanging="180"/>
        <w:contextualSpacing w:val="0"/>
        <w:jc w:val="both"/>
        <w:rPr>
          <w:bCs/>
          <w:sz w:val="24"/>
          <w:szCs w:val="24"/>
        </w:rPr>
      </w:pPr>
      <w:r w:rsidRPr="00CA6572">
        <w:rPr>
          <w:bCs/>
          <w:sz w:val="24"/>
          <w:szCs w:val="24"/>
          <w:u w:val="single"/>
        </w:rPr>
        <w:t>Model No:</w:t>
      </w:r>
      <w:r w:rsidRPr="00CA6572">
        <w:rPr>
          <w:bCs/>
          <w:sz w:val="24"/>
          <w:szCs w:val="24"/>
        </w:rPr>
        <w:t xml:space="preserve"> </w:t>
      </w:r>
      <w:r w:rsidRPr="00CA6572">
        <w:rPr>
          <w:color w:val="000000" w:themeColor="text1"/>
          <w:sz w:val="24"/>
          <w:szCs w:val="24"/>
          <w:shd w:val="clear" w:color="auto" w:fill="FFFFFF"/>
        </w:rPr>
        <w:t>The exact model number found on the device label or accompanying packaging.</w:t>
      </w:r>
    </w:p>
    <w:p w14:paraId="421CAE6B" w14:textId="77777777" w:rsidR="00A23567" w:rsidRPr="006F1537" w:rsidRDefault="00A23567" w:rsidP="00B551AA">
      <w:pPr>
        <w:pStyle w:val="ListParagraph"/>
        <w:widowControl/>
        <w:numPr>
          <w:ilvl w:val="0"/>
          <w:numId w:val="34"/>
        </w:numPr>
        <w:tabs>
          <w:tab w:val="left" w:pos="270"/>
        </w:tabs>
        <w:spacing w:after="120" w:line="360" w:lineRule="auto"/>
        <w:ind w:left="1080" w:hanging="180"/>
        <w:contextualSpacing w:val="0"/>
        <w:jc w:val="both"/>
        <w:rPr>
          <w:bCs/>
          <w:sz w:val="24"/>
          <w:szCs w:val="24"/>
        </w:rPr>
      </w:pPr>
      <w:r w:rsidRPr="006F1537">
        <w:rPr>
          <w:bCs/>
          <w:sz w:val="24"/>
          <w:szCs w:val="24"/>
          <w:u w:val="single"/>
        </w:rPr>
        <w:t>Unique Identifier No:</w:t>
      </w:r>
      <w:r w:rsidRPr="006F1537">
        <w:rPr>
          <w:color w:val="333333"/>
          <w:sz w:val="24"/>
          <w:szCs w:val="24"/>
        </w:rPr>
        <w:t xml:space="preserve"> </w:t>
      </w:r>
      <w:r w:rsidRPr="006F1537">
        <w:rPr>
          <w:color w:val="000000" w:themeColor="text1"/>
          <w:sz w:val="24"/>
          <w:szCs w:val="24"/>
        </w:rPr>
        <w:t>This number can be found on the device, its label, or accompanying packaging. The number is located below the barcode and begins with one of the following three elements: 01; +; or =.</w:t>
      </w:r>
      <w:r w:rsidRPr="006F1537">
        <w:rPr>
          <w:color w:val="000000" w:themeColor="text1"/>
          <w:sz w:val="24"/>
          <w:szCs w:val="24"/>
          <w:shd w:val="clear" w:color="auto" w:fill="FFFFFF"/>
        </w:rPr>
        <w:t xml:space="preserve"> Record all numbers, letters, parentheses, and symbols included in the UDI Number</w:t>
      </w:r>
      <w:r>
        <w:rPr>
          <w:color w:val="000000" w:themeColor="text1"/>
          <w:sz w:val="24"/>
          <w:szCs w:val="24"/>
          <w:shd w:val="clear" w:color="auto" w:fill="FFFFFF"/>
        </w:rPr>
        <w:t>.</w:t>
      </w:r>
    </w:p>
    <w:p w14:paraId="615C297E" w14:textId="77777777" w:rsidR="00A23567" w:rsidRPr="00CA6572" w:rsidRDefault="00A23567" w:rsidP="00B551AA">
      <w:pPr>
        <w:pStyle w:val="ListParagraph"/>
        <w:widowControl/>
        <w:numPr>
          <w:ilvl w:val="0"/>
          <w:numId w:val="34"/>
        </w:numPr>
        <w:tabs>
          <w:tab w:val="left" w:pos="270"/>
        </w:tabs>
        <w:spacing w:after="120" w:line="360" w:lineRule="auto"/>
        <w:ind w:left="1080" w:hanging="180"/>
        <w:contextualSpacing w:val="0"/>
        <w:jc w:val="both"/>
        <w:rPr>
          <w:bCs/>
          <w:sz w:val="24"/>
          <w:szCs w:val="24"/>
        </w:rPr>
      </w:pPr>
      <w:r w:rsidRPr="00CA6572">
        <w:rPr>
          <w:bCs/>
          <w:sz w:val="24"/>
          <w:szCs w:val="24"/>
          <w:u w:val="single"/>
        </w:rPr>
        <w:t>Serial No</w:t>
      </w:r>
      <w:r w:rsidRPr="00CA6572">
        <w:rPr>
          <w:bCs/>
          <w:sz w:val="24"/>
          <w:szCs w:val="24"/>
        </w:rPr>
        <w:t>:</w:t>
      </w:r>
      <w:r w:rsidRPr="00CA6572">
        <w:rPr>
          <w:color w:val="333333"/>
          <w:sz w:val="24"/>
          <w:szCs w:val="24"/>
          <w:shd w:val="clear" w:color="auto" w:fill="FFFFFF"/>
        </w:rPr>
        <w:t xml:space="preserve"> </w:t>
      </w:r>
      <w:r w:rsidRPr="00CA6572">
        <w:rPr>
          <w:color w:val="000000" w:themeColor="text1"/>
          <w:sz w:val="24"/>
          <w:szCs w:val="24"/>
          <w:shd w:val="clear" w:color="auto" w:fill="FFFFFF"/>
        </w:rPr>
        <w:t>It is assigned by the manufacturer</w:t>
      </w:r>
      <w:r>
        <w:rPr>
          <w:color w:val="000000" w:themeColor="text1"/>
          <w:sz w:val="24"/>
          <w:szCs w:val="24"/>
          <w:shd w:val="clear" w:color="auto" w:fill="FFFFFF"/>
        </w:rPr>
        <w:t xml:space="preserve"> </w:t>
      </w:r>
      <w:r w:rsidRPr="00CA6572">
        <w:rPr>
          <w:color w:val="000000" w:themeColor="text1"/>
          <w:sz w:val="24"/>
          <w:szCs w:val="24"/>
          <w:shd w:val="clear" w:color="auto" w:fill="FFFFFF"/>
        </w:rPr>
        <w:t>and should be specific to each device.</w:t>
      </w:r>
    </w:p>
    <w:p w14:paraId="27B0B2D2" w14:textId="77777777" w:rsidR="00A23567" w:rsidRPr="00CA6572" w:rsidRDefault="00A23567" w:rsidP="00B551AA">
      <w:pPr>
        <w:pStyle w:val="ListParagraph"/>
        <w:widowControl/>
        <w:numPr>
          <w:ilvl w:val="0"/>
          <w:numId w:val="34"/>
        </w:numPr>
        <w:tabs>
          <w:tab w:val="left" w:pos="270"/>
        </w:tabs>
        <w:spacing w:after="120" w:line="360" w:lineRule="auto"/>
        <w:ind w:left="1080" w:hanging="180"/>
        <w:contextualSpacing w:val="0"/>
        <w:jc w:val="both"/>
        <w:rPr>
          <w:bCs/>
          <w:sz w:val="24"/>
          <w:szCs w:val="24"/>
          <w:u w:val="single"/>
        </w:rPr>
      </w:pPr>
      <w:r w:rsidRPr="00CA6572">
        <w:rPr>
          <w:bCs/>
          <w:sz w:val="24"/>
          <w:szCs w:val="24"/>
          <w:u w:val="single"/>
        </w:rPr>
        <w:t>Implantation date:</w:t>
      </w:r>
    </w:p>
    <w:p w14:paraId="2663C1A8" w14:textId="73D933F9" w:rsidR="00A23567" w:rsidRPr="00111F76" w:rsidRDefault="00A23567" w:rsidP="00B551AA">
      <w:pPr>
        <w:pStyle w:val="ListParagraph"/>
        <w:widowControl/>
        <w:numPr>
          <w:ilvl w:val="0"/>
          <w:numId w:val="34"/>
        </w:numPr>
        <w:tabs>
          <w:tab w:val="left" w:pos="270"/>
        </w:tabs>
        <w:spacing w:after="120" w:line="360" w:lineRule="auto"/>
        <w:ind w:left="1080" w:hanging="180"/>
        <w:contextualSpacing w:val="0"/>
        <w:jc w:val="both"/>
        <w:rPr>
          <w:bCs/>
          <w:sz w:val="24"/>
          <w:szCs w:val="24"/>
          <w:u w:val="single"/>
        </w:rPr>
      </w:pPr>
      <w:r w:rsidRPr="00CA6572">
        <w:rPr>
          <w:bCs/>
          <w:sz w:val="24"/>
          <w:szCs w:val="24"/>
          <w:u w:val="single"/>
        </w:rPr>
        <w:t>Ex</w:t>
      </w:r>
      <w:r>
        <w:rPr>
          <w:bCs/>
          <w:sz w:val="24"/>
          <w:szCs w:val="24"/>
          <w:u w:val="single"/>
        </w:rPr>
        <w:t>-</w:t>
      </w:r>
      <w:r w:rsidRPr="00CA6572">
        <w:rPr>
          <w:bCs/>
          <w:sz w:val="24"/>
          <w:szCs w:val="24"/>
          <w:u w:val="single"/>
        </w:rPr>
        <w:t>plantation date:</w:t>
      </w:r>
    </w:p>
    <w:p w14:paraId="79101492" w14:textId="64D6A249" w:rsidR="00A23567" w:rsidRPr="000854AC" w:rsidRDefault="00A23567" w:rsidP="00B551AA">
      <w:pPr>
        <w:pStyle w:val="ListParagraph"/>
        <w:numPr>
          <w:ilvl w:val="0"/>
          <w:numId w:val="74"/>
        </w:numPr>
        <w:spacing w:after="120"/>
        <w:ind w:firstLine="0"/>
        <w:rPr>
          <w:i/>
          <w:iCs/>
          <w:sz w:val="24"/>
          <w:szCs w:val="24"/>
        </w:rPr>
      </w:pPr>
      <w:bookmarkStart w:id="47" w:name="_Toc93069583"/>
      <w:bookmarkStart w:id="48" w:name="_Toc99534852"/>
      <w:r w:rsidRPr="000854AC">
        <w:rPr>
          <w:i/>
          <w:iCs/>
          <w:sz w:val="24"/>
          <w:szCs w:val="24"/>
        </w:rPr>
        <w:t>Reporter Details</w:t>
      </w:r>
      <w:bookmarkEnd w:id="47"/>
      <w:bookmarkEnd w:id="48"/>
    </w:p>
    <w:p w14:paraId="78F227F0" w14:textId="77777777" w:rsidR="00A23567" w:rsidRPr="00CA6572"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i/>
          <w:sz w:val="24"/>
          <w:szCs w:val="24"/>
          <w:u w:val="single"/>
        </w:rPr>
        <w:lastRenderedPageBreak/>
        <w:t>Name of Reporter:</w:t>
      </w:r>
      <w:r w:rsidRPr="00CA6572">
        <w:rPr>
          <w:bCs/>
          <w:sz w:val="24"/>
          <w:szCs w:val="24"/>
        </w:rPr>
        <w:t xml:space="preserve"> </w:t>
      </w:r>
      <w:r>
        <w:rPr>
          <w:bCs/>
          <w:sz w:val="24"/>
          <w:szCs w:val="24"/>
        </w:rPr>
        <w:t>The r</w:t>
      </w:r>
      <w:r w:rsidRPr="00CA6572">
        <w:rPr>
          <w:bCs/>
          <w:sz w:val="24"/>
          <w:szCs w:val="24"/>
        </w:rPr>
        <w:t>eporter needs to mention his name on the form.</w:t>
      </w:r>
    </w:p>
    <w:p w14:paraId="7CF3089C" w14:textId="77777777" w:rsidR="00A23567" w:rsidRPr="00CA6572"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sz w:val="24"/>
          <w:szCs w:val="24"/>
          <w:u w:val="single"/>
        </w:rPr>
        <w:t>Professional Address:</w:t>
      </w:r>
      <w:r w:rsidRPr="00CA6572">
        <w:rPr>
          <w:bCs/>
          <w:sz w:val="24"/>
          <w:szCs w:val="24"/>
        </w:rPr>
        <w:t xml:space="preserve"> The reporter must also mention his professional address for communication.</w:t>
      </w:r>
    </w:p>
    <w:p w14:paraId="129E5491" w14:textId="77777777" w:rsidR="00A23567" w:rsidRPr="00CA6572"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sz w:val="24"/>
          <w:szCs w:val="24"/>
          <w:u w:val="single"/>
        </w:rPr>
        <w:t>Special</w:t>
      </w:r>
      <w:r>
        <w:rPr>
          <w:bCs/>
          <w:sz w:val="24"/>
          <w:szCs w:val="24"/>
          <w:u w:val="single"/>
        </w:rPr>
        <w:t>i</w:t>
      </w:r>
      <w:r w:rsidRPr="00CA6572">
        <w:rPr>
          <w:bCs/>
          <w:sz w:val="24"/>
          <w:szCs w:val="24"/>
          <w:u w:val="single"/>
        </w:rPr>
        <w:t>ty:</w:t>
      </w:r>
      <w:r w:rsidRPr="00CA6572">
        <w:rPr>
          <w:bCs/>
          <w:sz w:val="24"/>
          <w:szCs w:val="24"/>
        </w:rPr>
        <w:t xml:space="preserve"> Clinician, Pharmacist, Nurse, Physiotherapist.</w:t>
      </w:r>
    </w:p>
    <w:p w14:paraId="5F1EF6F2" w14:textId="77777777" w:rsidR="00A23567" w:rsidRPr="00CA6572"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sz w:val="24"/>
          <w:szCs w:val="24"/>
          <w:u w:val="single"/>
        </w:rPr>
        <w:t>Telephone No:</w:t>
      </w:r>
      <w:r w:rsidRPr="00CA6572">
        <w:rPr>
          <w:bCs/>
          <w:sz w:val="24"/>
          <w:szCs w:val="24"/>
        </w:rPr>
        <w:t xml:space="preserve"> For communication, if any information is required by the officers of </w:t>
      </w:r>
      <w:r>
        <w:rPr>
          <w:bCs/>
          <w:sz w:val="24"/>
          <w:szCs w:val="24"/>
        </w:rPr>
        <w:t>NPC</w:t>
      </w:r>
      <w:r w:rsidRPr="00CA6572">
        <w:rPr>
          <w:bCs/>
          <w:sz w:val="24"/>
          <w:szCs w:val="24"/>
        </w:rPr>
        <w:t>.</w:t>
      </w:r>
    </w:p>
    <w:p w14:paraId="41F48B90" w14:textId="77777777" w:rsidR="00A23567" w:rsidRPr="00CA6572"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sz w:val="24"/>
          <w:szCs w:val="24"/>
          <w:u w:val="single"/>
        </w:rPr>
        <w:t>Email Address:</w:t>
      </w:r>
      <w:r w:rsidRPr="00CA6572">
        <w:rPr>
          <w:bCs/>
          <w:sz w:val="24"/>
          <w:szCs w:val="24"/>
        </w:rPr>
        <w:t xml:space="preserve"> For communication</w:t>
      </w:r>
    </w:p>
    <w:p w14:paraId="5D9AF17F" w14:textId="77777777" w:rsidR="00A23567" w:rsidRPr="00CA6572"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sz w:val="24"/>
          <w:szCs w:val="24"/>
          <w:u w:val="single"/>
        </w:rPr>
        <w:t>Date of this report</w:t>
      </w:r>
      <w:r w:rsidRPr="00CA6572">
        <w:rPr>
          <w:bCs/>
          <w:sz w:val="24"/>
          <w:szCs w:val="24"/>
        </w:rPr>
        <w:t>: mention the date on which she/h</w:t>
      </w:r>
      <w:r>
        <w:rPr>
          <w:bCs/>
          <w:sz w:val="24"/>
          <w:szCs w:val="24"/>
        </w:rPr>
        <w:t>e</w:t>
      </w:r>
      <w:r w:rsidRPr="00CA6572">
        <w:rPr>
          <w:bCs/>
          <w:sz w:val="24"/>
          <w:szCs w:val="24"/>
        </w:rPr>
        <w:t xml:space="preserve"> report the adverse reaction/ event.</w:t>
      </w:r>
    </w:p>
    <w:p w14:paraId="1C2F7B57" w14:textId="77777777" w:rsidR="00A23567" w:rsidRPr="00CA6572"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sz w:val="24"/>
          <w:szCs w:val="24"/>
          <w:u w:val="single"/>
        </w:rPr>
        <w:t>Signature:</w:t>
      </w:r>
      <w:r w:rsidRPr="00CA6572">
        <w:rPr>
          <w:bCs/>
          <w:sz w:val="24"/>
          <w:szCs w:val="24"/>
        </w:rPr>
        <w:t xml:space="preserve"> Si</w:t>
      </w:r>
      <w:r>
        <w:rPr>
          <w:bCs/>
          <w:sz w:val="24"/>
          <w:szCs w:val="24"/>
        </w:rPr>
        <w:t>gn</w:t>
      </w:r>
      <w:r w:rsidRPr="00CA6572">
        <w:rPr>
          <w:bCs/>
          <w:sz w:val="24"/>
          <w:szCs w:val="24"/>
        </w:rPr>
        <w:t xml:space="preserve"> of the reporter</w:t>
      </w:r>
    </w:p>
    <w:p w14:paraId="33254875" w14:textId="42D88599" w:rsidR="0092667A" w:rsidRPr="00E05B63" w:rsidRDefault="00A23567" w:rsidP="00B551AA">
      <w:pPr>
        <w:pStyle w:val="ListParagraph"/>
        <w:widowControl/>
        <w:numPr>
          <w:ilvl w:val="0"/>
          <w:numId w:val="35"/>
        </w:numPr>
        <w:tabs>
          <w:tab w:val="left" w:pos="270"/>
          <w:tab w:val="left" w:pos="1260"/>
        </w:tabs>
        <w:spacing w:after="120" w:line="360" w:lineRule="auto"/>
        <w:ind w:left="1268" w:hanging="274"/>
        <w:contextualSpacing w:val="0"/>
        <w:jc w:val="both"/>
        <w:rPr>
          <w:bCs/>
          <w:sz w:val="24"/>
          <w:szCs w:val="24"/>
        </w:rPr>
      </w:pPr>
      <w:r w:rsidRPr="00CA6572">
        <w:rPr>
          <w:bCs/>
          <w:sz w:val="24"/>
          <w:szCs w:val="24"/>
          <w:u w:val="single"/>
        </w:rPr>
        <w:t>Reporting to other stakeholder</w:t>
      </w:r>
      <w:r>
        <w:rPr>
          <w:bCs/>
          <w:sz w:val="24"/>
          <w:szCs w:val="24"/>
          <w:u w:val="single"/>
        </w:rPr>
        <w:t>s</w:t>
      </w:r>
      <w:r w:rsidRPr="00CA6572">
        <w:rPr>
          <w:bCs/>
          <w:sz w:val="24"/>
          <w:szCs w:val="24"/>
          <w:u w:val="single"/>
        </w:rPr>
        <w:t>:</w:t>
      </w:r>
      <w:r w:rsidRPr="00CA6572">
        <w:rPr>
          <w:bCs/>
          <w:sz w:val="24"/>
          <w:szCs w:val="24"/>
        </w:rPr>
        <w:t xml:space="preserve"> the reporter needs to mention whether he or she has reported the same ADR/ AE to </w:t>
      </w:r>
      <w:r>
        <w:rPr>
          <w:bCs/>
          <w:sz w:val="24"/>
          <w:szCs w:val="24"/>
        </w:rPr>
        <w:t>the provincial centre</w:t>
      </w:r>
      <w:r w:rsidRPr="00CA6572">
        <w:rPr>
          <w:bCs/>
          <w:sz w:val="24"/>
          <w:szCs w:val="24"/>
        </w:rPr>
        <w:t xml:space="preserve"> and registration holder or is reporting directly to </w:t>
      </w:r>
      <w:r>
        <w:rPr>
          <w:bCs/>
          <w:sz w:val="24"/>
          <w:szCs w:val="24"/>
        </w:rPr>
        <w:t>NPC</w:t>
      </w:r>
      <w:r w:rsidRPr="00CA6572">
        <w:rPr>
          <w:bCs/>
          <w:sz w:val="24"/>
          <w:szCs w:val="24"/>
        </w:rPr>
        <w:t>.</w:t>
      </w:r>
    </w:p>
    <w:p w14:paraId="1A5DF6D2" w14:textId="68EE429C" w:rsidR="00693F65" w:rsidRDefault="001704A0" w:rsidP="0023201B">
      <w:pPr>
        <w:spacing w:after="120" w:line="360" w:lineRule="auto"/>
        <w:rPr>
          <w:b/>
          <w:bCs/>
          <w:i/>
          <w:iCs/>
          <w:sz w:val="26"/>
          <w:szCs w:val="26"/>
        </w:rPr>
      </w:pPr>
      <w:r>
        <w:rPr>
          <w:b/>
          <w:bCs/>
          <w:i/>
          <w:iCs/>
          <w:sz w:val="26"/>
          <w:szCs w:val="26"/>
        </w:rPr>
        <w:t xml:space="preserve">B. </w:t>
      </w:r>
      <w:r w:rsidRPr="001704A0">
        <w:rPr>
          <w:b/>
          <w:bCs/>
          <w:i/>
          <w:iCs/>
          <w:sz w:val="26"/>
          <w:szCs w:val="26"/>
        </w:rPr>
        <w:t>Med Vigilance E Reporting System</w:t>
      </w:r>
      <w:r w:rsidR="00A515C7">
        <w:rPr>
          <w:b/>
          <w:bCs/>
          <w:i/>
          <w:iCs/>
          <w:sz w:val="26"/>
          <w:szCs w:val="26"/>
        </w:rPr>
        <w:t xml:space="preserve"> </w:t>
      </w:r>
      <w:r w:rsidR="00A515C7" w:rsidRPr="00EB384F">
        <w:rPr>
          <w:b/>
          <w:bCs/>
          <w:i/>
          <w:iCs/>
          <w:color w:val="002060"/>
          <w:sz w:val="26"/>
          <w:szCs w:val="26"/>
        </w:rPr>
        <w:t>(For patient and healthcare professionals)</w:t>
      </w:r>
    </w:p>
    <w:p w14:paraId="2B9BF850" w14:textId="2A191FD5" w:rsidR="001704A0" w:rsidRDefault="00A515C7" w:rsidP="00454743">
      <w:pPr>
        <w:spacing w:after="120" w:line="360" w:lineRule="auto"/>
        <w:ind w:left="540"/>
        <w:jc w:val="both"/>
        <w:rPr>
          <w:bCs/>
          <w:color w:val="000000" w:themeColor="text1"/>
          <w:sz w:val="24"/>
          <w:szCs w:val="24"/>
        </w:rPr>
      </w:pPr>
      <w:r>
        <w:rPr>
          <w:bCs/>
          <w:sz w:val="24"/>
          <w:szCs w:val="24"/>
        </w:rPr>
        <w:t xml:space="preserve">AEs </w:t>
      </w:r>
      <w:r w:rsidRPr="00B5393E">
        <w:rPr>
          <w:bCs/>
          <w:sz w:val="24"/>
          <w:szCs w:val="24"/>
        </w:rPr>
        <w:t xml:space="preserve">can </w:t>
      </w:r>
      <w:r>
        <w:rPr>
          <w:bCs/>
          <w:sz w:val="24"/>
          <w:szCs w:val="24"/>
        </w:rPr>
        <w:t xml:space="preserve">also </w:t>
      </w:r>
      <w:r w:rsidRPr="00B5393E">
        <w:rPr>
          <w:bCs/>
          <w:sz w:val="24"/>
          <w:szCs w:val="24"/>
        </w:rPr>
        <w:t>be reported to NPC</w:t>
      </w:r>
      <w:r>
        <w:rPr>
          <w:bCs/>
          <w:sz w:val="24"/>
          <w:szCs w:val="24"/>
        </w:rPr>
        <w:t>, DRAP</w:t>
      </w:r>
      <w:r w:rsidRPr="00B5393E">
        <w:rPr>
          <w:bCs/>
          <w:sz w:val="24"/>
          <w:szCs w:val="24"/>
        </w:rPr>
        <w:t xml:space="preserve"> through </w:t>
      </w:r>
      <w:hyperlink r:id="rId43" w:history="1">
        <w:r w:rsidRPr="005B695B">
          <w:rPr>
            <w:rStyle w:val="Hyperlink"/>
            <w:bCs/>
            <w:sz w:val="24"/>
            <w:szCs w:val="24"/>
          </w:rPr>
          <w:t>Med Vigilance E Reporting System</w:t>
        </w:r>
      </w:hyperlink>
      <w:r w:rsidRPr="00B5393E">
        <w:rPr>
          <w:bCs/>
          <w:sz w:val="24"/>
          <w:szCs w:val="24"/>
        </w:rPr>
        <w:t xml:space="preserve"> that is </w:t>
      </w:r>
      <w:r w:rsidRPr="009D132B">
        <w:rPr>
          <w:bCs/>
          <w:color w:val="000000" w:themeColor="text1"/>
          <w:sz w:val="24"/>
          <w:szCs w:val="24"/>
        </w:rPr>
        <w:t xml:space="preserve">available </w:t>
      </w:r>
      <w:r w:rsidR="00F26FE5">
        <w:rPr>
          <w:bCs/>
          <w:color w:val="000000" w:themeColor="text1"/>
          <w:sz w:val="24"/>
          <w:szCs w:val="24"/>
        </w:rPr>
        <w:t>on</w:t>
      </w:r>
      <w:r w:rsidRPr="009D132B">
        <w:rPr>
          <w:bCs/>
          <w:color w:val="000000" w:themeColor="text1"/>
          <w:sz w:val="24"/>
          <w:szCs w:val="24"/>
        </w:rPr>
        <w:t xml:space="preserve"> the official website. A telephone number of the reporter in the relevant field of the E-Reporting system should be provided in case staff from NPC, DRAP intends to get further information from </w:t>
      </w:r>
      <w:r>
        <w:rPr>
          <w:bCs/>
          <w:color w:val="000000" w:themeColor="text1"/>
          <w:sz w:val="24"/>
          <w:szCs w:val="24"/>
        </w:rPr>
        <w:t>HCP</w:t>
      </w:r>
      <w:r w:rsidRPr="009D132B">
        <w:rPr>
          <w:bCs/>
          <w:color w:val="000000" w:themeColor="text1"/>
          <w:sz w:val="24"/>
          <w:szCs w:val="24"/>
        </w:rPr>
        <w:t xml:space="preserve"> in the form of follow-up</w:t>
      </w:r>
      <w:r>
        <w:rPr>
          <w:bCs/>
          <w:color w:val="000000" w:themeColor="text1"/>
          <w:sz w:val="24"/>
          <w:szCs w:val="24"/>
        </w:rPr>
        <w:t xml:space="preserve">. </w:t>
      </w:r>
    </w:p>
    <w:p w14:paraId="18F9BC1C" w14:textId="0F9BBAC6" w:rsidR="0092667A" w:rsidRPr="00CF17B0" w:rsidRDefault="00034F23" w:rsidP="0092667A">
      <w:pPr>
        <w:spacing w:before="120" w:line="276" w:lineRule="auto"/>
        <w:ind w:left="540"/>
        <w:jc w:val="both"/>
        <w:rPr>
          <w:bCs/>
          <w:sz w:val="24"/>
          <w:szCs w:val="24"/>
        </w:rPr>
      </w:pPr>
      <w:r>
        <w:rPr>
          <w:bCs/>
          <w:sz w:val="24"/>
          <w:szCs w:val="24"/>
        </w:rPr>
        <w:t xml:space="preserve">Healthcare professionals, patients and relatives of patients can report through this channel. Please see the adverse events reporting guidelines for patients and healthcare professionals for further detail. Please see </w:t>
      </w:r>
      <w:r w:rsidR="004B7E6D">
        <w:rPr>
          <w:bCs/>
          <w:sz w:val="24"/>
          <w:szCs w:val="24"/>
        </w:rPr>
        <w:t>(</w:t>
      </w:r>
      <w:r w:rsidR="0092667A" w:rsidRPr="00CF17B0">
        <w:rPr>
          <w:b/>
          <w:sz w:val="24"/>
          <w:szCs w:val="24"/>
        </w:rPr>
        <w:t>Annexure B</w:t>
      </w:r>
      <w:r w:rsidR="004B7E6D">
        <w:rPr>
          <w:b/>
          <w:sz w:val="24"/>
          <w:szCs w:val="24"/>
        </w:rPr>
        <w:t>)</w:t>
      </w:r>
      <w:r>
        <w:rPr>
          <w:bCs/>
          <w:sz w:val="24"/>
          <w:szCs w:val="24"/>
        </w:rPr>
        <w:t xml:space="preserve"> for how to report and fill in the form.</w:t>
      </w:r>
    </w:p>
    <w:p w14:paraId="09F085A4" w14:textId="77777777" w:rsidR="0092667A" w:rsidRDefault="0092667A" w:rsidP="0023201B">
      <w:pPr>
        <w:spacing w:after="120" w:line="360" w:lineRule="auto"/>
        <w:ind w:left="540"/>
        <w:jc w:val="both"/>
        <w:rPr>
          <w:bCs/>
          <w:color w:val="000000" w:themeColor="text1"/>
          <w:sz w:val="24"/>
          <w:szCs w:val="24"/>
        </w:rPr>
      </w:pPr>
    </w:p>
    <w:p w14:paraId="65DB88B5" w14:textId="0F68C7A4" w:rsidR="00A515C7" w:rsidRPr="000F2E4F" w:rsidRDefault="00A515C7" w:rsidP="0023201B">
      <w:pPr>
        <w:spacing w:after="120" w:line="360" w:lineRule="auto"/>
        <w:rPr>
          <w:b/>
          <w:bCs/>
          <w:i/>
          <w:iCs/>
          <w:color w:val="002060"/>
          <w:sz w:val="26"/>
          <w:szCs w:val="26"/>
        </w:rPr>
      </w:pPr>
      <w:r>
        <w:rPr>
          <w:b/>
          <w:bCs/>
          <w:i/>
          <w:iCs/>
          <w:sz w:val="26"/>
          <w:szCs w:val="26"/>
        </w:rPr>
        <w:t>C.</w:t>
      </w:r>
      <w:r w:rsidRPr="00A515C7">
        <w:rPr>
          <w:b/>
          <w:bCs/>
          <w:i/>
          <w:iCs/>
          <w:sz w:val="28"/>
          <w:szCs w:val="28"/>
        </w:rPr>
        <w:t xml:space="preserve"> </w:t>
      </w:r>
      <w:r w:rsidRPr="00A515C7">
        <w:rPr>
          <w:b/>
          <w:bCs/>
          <w:i/>
          <w:iCs/>
          <w:sz w:val="26"/>
          <w:szCs w:val="26"/>
        </w:rPr>
        <w:t>Med Safety Mobile Application</w:t>
      </w:r>
      <w:r w:rsidRPr="00A515C7">
        <w:rPr>
          <w:b/>
          <w:bCs/>
          <w:i/>
          <w:iCs/>
          <w:sz w:val="28"/>
          <w:szCs w:val="28"/>
        </w:rPr>
        <w:t xml:space="preserve"> </w:t>
      </w:r>
      <w:r w:rsidRPr="000F2E4F">
        <w:rPr>
          <w:b/>
          <w:bCs/>
          <w:i/>
          <w:iCs/>
          <w:color w:val="002060"/>
          <w:sz w:val="26"/>
          <w:szCs w:val="26"/>
        </w:rPr>
        <w:t>(For patient</w:t>
      </w:r>
      <w:r w:rsidR="003311CD" w:rsidRPr="000F2E4F">
        <w:rPr>
          <w:b/>
          <w:bCs/>
          <w:i/>
          <w:iCs/>
          <w:color w:val="002060"/>
          <w:sz w:val="26"/>
          <w:szCs w:val="26"/>
        </w:rPr>
        <w:t>s</w:t>
      </w:r>
      <w:r w:rsidRPr="000F2E4F">
        <w:rPr>
          <w:b/>
          <w:bCs/>
          <w:i/>
          <w:iCs/>
          <w:color w:val="002060"/>
          <w:sz w:val="26"/>
          <w:szCs w:val="26"/>
        </w:rPr>
        <w:t xml:space="preserve"> and healthcare professionals)</w:t>
      </w:r>
    </w:p>
    <w:p w14:paraId="066AEE83" w14:textId="675AE14C" w:rsidR="0092667A" w:rsidRDefault="0023201B" w:rsidP="00554E5F">
      <w:pPr>
        <w:pStyle w:val="NormalWeb"/>
        <w:shd w:val="clear" w:color="auto" w:fill="FFFFFF"/>
        <w:spacing w:before="0" w:beforeAutospacing="0" w:after="120" w:afterAutospacing="0" w:line="360" w:lineRule="auto"/>
        <w:ind w:left="540"/>
        <w:jc w:val="both"/>
        <w:textAlignment w:val="baseline"/>
        <w:rPr>
          <w:color w:val="000000" w:themeColor="text1"/>
        </w:rPr>
      </w:pPr>
      <w:r w:rsidRPr="00A10CD5">
        <w:rPr>
          <w:color w:val="000000" w:themeColor="text1"/>
        </w:rPr>
        <w:t xml:space="preserve">This is a mobile application developed by </w:t>
      </w:r>
      <w:r w:rsidRPr="00A10CD5">
        <w:rPr>
          <w:color w:val="000000" w:themeColor="text1"/>
          <w:shd w:val="clear" w:color="auto" w:fill="FFFFFF"/>
        </w:rPr>
        <w:t xml:space="preserve">WEB-RADR in collaboration with </w:t>
      </w:r>
      <w:r>
        <w:rPr>
          <w:color w:val="000000" w:themeColor="text1"/>
          <w:shd w:val="clear" w:color="auto" w:fill="FFFFFF"/>
        </w:rPr>
        <w:t xml:space="preserve">the </w:t>
      </w:r>
      <w:r w:rsidRPr="00A10CD5">
        <w:rPr>
          <w:color w:val="000000" w:themeColor="text1"/>
          <w:shd w:val="clear" w:color="auto" w:fill="FFFFFF"/>
        </w:rPr>
        <w:t xml:space="preserve">Medicine and Health Product Regulatory Agency (MHRA), United Kingdom and Uppsala Monitoring Centre (UMC) that was initially launched for reporting </w:t>
      </w:r>
      <w:r>
        <w:rPr>
          <w:color w:val="000000" w:themeColor="text1"/>
          <w:shd w:val="clear" w:color="auto" w:fill="FFFFFF"/>
        </w:rPr>
        <w:t xml:space="preserve">of </w:t>
      </w:r>
      <w:r w:rsidRPr="00A10CD5">
        <w:rPr>
          <w:color w:val="000000" w:themeColor="text1"/>
          <w:shd w:val="clear" w:color="auto" w:fill="FFFFFF"/>
        </w:rPr>
        <w:t xml:space="preserve">AEs in low and middle-income countries. </w:t>
      </w:r>
      <w:r w:rsidRPr="00A10CD5">
        <w:rPr>
          <w:color w:val="000000" w:themeColor="text1"/>
        </w:rPr>
        <w:t>The Med Safety App is available for download from</w:t>
      </w:r>
      <w:r w:rsidRPr="00172384">
        <w:rPr>
          <w:color w:val="333A42"/>
        </w:rPr>
        <w:t xml:space="preserve"> </w:t>
      </w:r>
      <w:r w:rsidR="00815E50">
        <w:rPr>
          <w:color w:val="333A42"/>
        </w:rPr>
        <w:t xml:space="preserve">the </w:t>
      </w:r>
      <w:hyperlink r:id="rId44" w:history="1">
        <w:r w:rsidRPr="00D4777C">
          <w:rPr>
            <w:rStyle w:val="Hyperlink"/>
            <w:color w:val="0070C0"/>
            <w:bdr w:val="none" w:sz="0" w:space="0" w:color="auto" w:frame="1"/>
          </w:rPr>
          <w:t>App store</w:t>
        </w:r>
      </w:hyperlink>
      <w:r w:rsidRPr="00D4777C">
        <w:rPr>
          <w:color w:val="0070C0"/>
        </w:rPr>
        <w:t> </w:t>
      </w:r>
      <w:r w:rsidRPr="00172384">
        <w:rPr>
          <w:color w:val="333A42"/>
        </w:rPr>
        <w:t>(</w:t>
      </w:r>
      <w:r w:rsidRPr="00A10CD5">
        <w:rPr>
          <w:color w:val="000000" w:themeColor="text1"/>
        </w:rPr>
        <w:t>For iOS devices</w:t>
      </w:r>
      <w:r w:rsidRPr="00172384">
        <w:rPr>
          <w:color w:val="333A42"/>
        </w:rPr>
        <w:t>)</w:t>
      </w:r>
      <w:r>
        <w:rPr>
          <w:color w:val="333A42"/>
        </w:rPr>
        <w:t xml:space="preserve"> and </w:t>
      </w:r>
      <w:hyperlink r:id="rId45" w:history="1">
        <w:r w:rsidRPr="00D4777C">
          <w:rPr>
            <w:rStyle w:val="Hyperlink"/>
            <w:color w:val="0070C0"/>
            <w:bdr w:val="none" w:sz="0" w:space="0" w:color="auto" w:frame="1"/>
          </w:rPr>
          <w:t>Google Play</w:t>
        </w:r>
      </w:hyperlink>
      <w:r w:rsidRPr="00172384">
        <w:rPr>
          <w:color w:val="333A42"/>
        </w:rPr>
        <w:t> (</w:t>
      </w:r>
      <w:r w:rsidRPr="00A10CD5">
        <w:rPr>
          <w:color w:val="000000" w:themeColor="text1"/>
        </w:rPr>
        <w:t xml:space="preserve">For Android devices). Guidelines for downloading and creating an account in Med Safety Mobile App are annexed as </w:t>
      </w:r>
      <w:r w:rsidR="00EC564B">
        <w:rPr>
          <w:b/>
          <w:bCs/>
          <w:color w:val="000000" w:themeColor="text1"/>
        </w:rPr>
        <w:t>(</w:t>
      </w:r>
      <w:r w:rsidR="00FB76C0">
        <w:rPr>
          <w:b/>
          <w:bCs/>
          <w:color w:val="000000" w:themeColor="text1"/>
        </w:rPr>
        <w:t>Annexure C</w:t>
      </w:r>
      <w:r w:rsidR="00EC564B">
        <w:rPr>
          <w:b/>
          <w:bCs/>
          <w:color w:val="000000" w:themeColor="text1"/>
        </w:rPr>
        <w:t>)</w:t>
      </w:r>
      <w:r w:rsidRPr="00A10CD5">
        <w:rPr>
          <w:b/>
          <w:bCs/>
          <w:color w:val="000000" w:themeColor="text1"/>
        </w:rPr>
        <w:t>.</w:t>
      </w:r>
      <w:r w:rsidRPr="00A10CD5">
        <w:rPr>
          <w:color w:val="000000" w:themeColor="text1"/>
        </w:rPr>
        <w:t xml:space="preserve"> Once you have created </w:t>
      </w:r>
      <w:r w:rsidRPr="00A10CD5">
        <w:rPr>
          <w:color w:val="000000" w:themeColor="text1"/>
        </w:rPr>
        <w:lastRenderedPageBreak/>
        <w:t xml:space="preserve">your account please see the </w:t>
      </w:r>
      <w:hyperlink r:id="rId46" w:history="1">
        <w:r w:rsidRPr="008C254B">
          <w:rPr>
            <w:rStyle w:val="Hyperlink"/>
          </w:rPr>
          <w:t>Med Safety Mobile Application use video</w:t>
        </w:r>
      </w:hyperlink>
      <w:r w:rsidRPr="008C254B">
        <w:rPr>
          <w:color w:val="000000" w:themeColor="text1"/>
        </w:rPr>
        <w:t xml:space="preserve"> </w:t>
      </w:r>
      <w:r w:rsidRPr="00A10CD5">
        <w:rPr>
          <w:color w:val="000000" w:themeColor="text1"/>
        </w:rPr>
        <w:t>to understand how to fill and report the AE.</w:t>
      </w:r>
    </w:p>
    <w:p w14:paraId="518D9F64" w14:textId="36B5EE5B" w:rsidR="00D91547" w:rsidRDefault="00D91547" w:rsidP="00D91547">
      <w:pPr>
        <w:pStyle w:val="NormalWeb"/>
        <w:shd w:val="clear" w:color="auto" w:fill="FFFFFF"/>
        <w:spacing w:before="0" w:beforeAutospacing="0" w:after="120" w:afterAutospacing="0" w:line="360" w:lineRule="auto"/>
        <w:ind w:left="540"/>
        <w:jc w:val="both"/>
        <w:textAlignment w:val="baseline"/>
        <w:rPr>
          <w:b/>
          <w:bCs/>
          <w:i/>
          <w:iCs/>
          <w:color w:val="000000" w:themeColor="text1"/>
          <w:sz w:val="26"/>
          <w:szCs w:val="26"/>
        </w:rPr>
      </w:pPr>
      <w:r w:rsidRPr="00D91547">
        <w:rPr>
          <w:b/>
          <w:bCs/>
          <w:i/>
          <w:iCs/>
          <w:color w:val="000000" w:themeColor="text1"/>
          <w:sz w:val="26"/>
          <w:szCs w:val="26"/>
        </w:rPr>
        <w:t>D. CIOMS Form</w:t>
      </w:r>
    </w:p>
    <w:p w14:paraId="7C85FCB6" w14:textId="3F6B5CA9" w:rsidR="00193ADC" w:rsidRPr="004C6FF7" w:rsidRDefault="00193ADC" w:rsidP="000D3B88">
      <w:pPr>
        <w:pStyle w:val="NormalWeb"/>
        <w:shd w:val="clear" w:color="auto" w:fill="FFFFFF"/>
        <w:spacing w:before="120" w:beforeAutospacing="0" w:after="120" w:afterAutospacing="0" w:line="360" w:lineRule="auto"/>
        <w:ind w:left="547"/>
        <w:jc w:val="both"/>
        <w:textAlignment w:val="baseline"/>
        <w:rPr>
          <w:color w:val="000000" w:themeColor="text1"/>
          <w:shd w:val="clear" w:color="auto" w:fill="FFFFFF"/>
        </w:rPr>
      </w:pPr>
      <w:r w:rsidRPr="004C6FF7">
        <w:rPr>
          <w:color w:val="000000" w:themeColor="text1"/>
          <w:shd w:val="clear" w:color="auto" w:fill="FFFFFF"/>
        </w:rPr>
        <w:t>In 1986, CIOMS set up its first Working Group on pharmacovigilance, a </w:t>
      </w:r>
      <w:r w:rsidRPr="004C6FF7">
        <w:rPr>
          <w:rStyle w:val="Emphasis"/>
          <w:color w:val="000000" w:themeColor="text1"/>
          <w:bdr w:val="none" w:sz="0" w:space="0" w:color="auto" w:frame="1"/>
          <w:shd w:val="clear" w:color="auto" w:fill="FFFFFF"/>
        </w:rPr>
        <w:t>Working Group on International Reporting of Adverse Drug Reactions</w:t>
      </w:r>
      <w:r w:rsidRPr="004C6FF7">
        <w:rPr>
          <w:color w:val="000000" w:themeColor="text1"/>
          <w:shd w:val="clear" w:color="auto" w:fill="FFFFFF"/>
        </w:rPr>
        <w:t> to explore means of coordinating and standardizing international adverse drug reporting by pharmaceutical manufacturers to regulatory authorities. The Working Group devised a method for the reporting by manufacturers of suspected adverse drug reactions which included standardized definitions, procedures and format. The report contains the CIOMS reporting Form 1, which for the first time set the minimum standard for reporting. </w:t>
      </w:r>
    </w:p>
    <w:p w14:paraId="14CE8DEC" w14:textId="2AB6B0D6" w:rsidR="00193ADC" w:rsidRPr="004C6FF7" w:rsidRDefault="00193ADC" w:rsidP="00D91547">
      <w:pPr>
        <w:pStyle w:val="NormalWeb"/>
        <w:shd w:val="clear" w:color="auto" w:fill="FFFFFF"/>
        <w:spacing w:before="0" w:beforeAutospacing="0" w:after="120" w:afterAutospacing="0" w:line="360" w:lineRule="auto"/>
        <w:ind w:left="540"/>
        <w:jc w:val="both"/>
        <w:textAlignment w:val="baseline"/>
        <w:rPr>
          <w:color w:val="000000" w:themeColor="text1"/>
        </w:rPr>
      </w:pPr>
      <w:r w:rsidRPr="004C6FF7">
        <w:rPr>
          <w:color w:val="000000" w:themeColor="text1"/>
        </w:rPr>
        <w:t xml:space="preserve">Those registration holders having no facilities to generate reports on E2B </w:t>
      </w:r>
      <w:r w:rsidR="00815E50">
        <w:rPr>
          <w:color w:val="000000" w:themeColor="text1"/>
        </w:rPr>
        <w:t>XML</w:t>
      </w:r>
      <w:r w:rsidRPr="004C6FF7">
        <w:rPr>
          <w:color w:val="000000" w:themeColor="text1"/>
        </w:rPr>
        <w:t xml:space="preserve"> format can send the reports in hard format on CIOMS </w:t>
      </w:r>
      <w:r w:rsidR="000D3B88" w:rsidRPr="004C6FF7">
        <w:rPr>
          <w:color w:val="000000" w:themeColor="text1"/>
        </w:rPr>
        <w:t>Form</w:t>
      </w:r>
      <w:r w:rsidRPr="004C6FF7">
        <w:rPr>
          <w:color w:val="000000" w:themeColor="text1"/>
        </w:rPr>
        <w:t xml:space="preserve">-I </w:t>
      </w:r>
      <w:r w:rsidRPr="004C6FF7">
        <w:rPr>
          <w:b/>
          <w:bCs/>
          <w:color w:val="000000" w:themeColor="text1"/>
        </w:rPr>
        <w:t>(Annexure D)</w:t>
      </w:r>
      <w:r w:rsidRPr="004C6FF7">
        <w:rPr>
          <w:color w:val="000000" w:themeColor="text1"/>
        </w:rPr>
        <w:t xml:space="preserve"> to NPC, DRAP, Islamabad.</w:t>
      </w:r>
    </w:p>
    <w:p w14:paraId="3C705BC6" w14:textId="77777777" w:rsidR="00193ADC" w:rsidRPr="004C6FF7" w:rsidRDefault="00193ADC" w:rsidP="00193ADC">
      <w:pPr>
        <w:pStyle w:val="ListParagraph"/>
        <w:ind w:left="1620"/>
        <w:rPr>
          <w:color w:val="000000" w:themeColor="text1"/>
          <w:sz w:val="24"/>
          <w:szCs w:val="24"/>
        </w:rPr>
      </w:pPr>
      <w:r w:rsidRPr="004C6FF7">
        <w:rPr>
          <w:color w:val="000000" w:themeColor="text1"/>
          <w:sz w:val="24"/>
          <w:szCs w:val="24"/>
        </w:rPr>
        <w:t xml:space="preserve">        In-charge National Pharmacovigilance Centre,</w:t>
      </w:r>
    </w:p>
    <w:p w14:paraId="3D7DA029" w14:textId="77777777" w:rsidR="00193ADC" w:rsidRPr="004C6FF7" w:rsidRDefault="00193ADC" w:rsidP="00193ADC">
      <w:pPr>
        <w:pStyle w:val="ListParagraph"/>
        <w:tabs>
          <w:tab w:val="left" w:pos="1710"/>
        </w:tabs>
        <w:ind w:left="1710"/>
        <w:rPr>
          <w:color w:val="000000" w:themeColor="text1"/>
          <w:sz w:val="24"/>
          <w:szCs w:val="24"/>
        </w:rPr>
      </w:pPr>
      <w:r w:rsidRPr="004C6FF7">
        <w:rPr>
          <w:color w:val="000000" w:themeColor="text1"/>
          <w:sz w:val="24"/>
          <w:szCs w:val="24"/>
        </w:rPr>
        <w:tab/>
        <w:t>Division of Pharmacy Services</w:t>
      </w:r>
    </w:p>
    <w:p w14:paraId="17760795" w14:textId="77777777" w:rsidR="00193ADC" w:rsidRPr="004C6FF7" w:rsidRDefault="00193ADC" w:rsidP="00193ADC">
      <w:pPr>
        <w:pStyle w:val="ListParagraph"/>
        <w:tabs>
          <w:tab w:val="left" w:pos="1710"/>
        </w:tabs>
        <w:ind w:left="1710"/>
        <w:rPr>
          <w:color w:val="000000" w:themeColor="text1"/>
          <w:sz w:val="24"/>
          <w:szCs w:val="24"/>
        </w:rPr>
      </w:pPr>
      <w:r w:rsidRPr="004C6FF7">
        <w:rPr>
          <w:color w:val="000000" w:themeColor="text1"/>
          <w:sz w:val="24"/>
          <w:szCs w:val="24"/>
        </w:rPr>
        <w:tab/>
        <w:t>Drug Regulatory Authority of Pakistan</w:t>
      </w:r>
    </w:p>
    <w:p w14:paraId="260DABEF" w14:textId="77777777" w:rsidR="00193ADC" w:rsidRPr="004C6FF7" w:rsidRDefault="00193ADC" w:rsidP="00193ADC">
      <w:pPr>
        <w:pStyle w:val="ListParagraph"/>
        <w:tabs>
          <w:tab w:val="left" w:pos="1710"/>
        </w:tabs>
        <w:ind w:left="1710"/>
        <w:rPr>
          <w:color w:val="000000" w:themeColor="text1"/>
          <w:sz w:val="24"/>
          <w:szCs w:val="24"/>
        </w:rPr>
      </w:pPr>
      <w:r w:rsidRPr="004C6FF7">
        <w:rPr>
          <w:color w:val="000000" w:themeColor="text1"/>
          <w:sz w:val="24"/>
          <w:szCs w:val="24"/>
        </w:rPr>
        <w:tab/>
        <w:t>3</w:t>
      </w:r>
      <w:r w:rsidRPr="004C6FF7">
        <w:rPr>
          <w:color w:val="000000" w:themeColor="text1"/>
          <w:sz w:val="24"/>
          <w:szCs w:val="24"/>
          <w:vertAlign w:val="superscript"/>
        </w:rPr>
        <w:t>rd</w:t>
      </w:r>
      <w:r w:rsidRPr="004C6FF7">
        <w:rPr>
          <w:color w:val="000000" w:themeColor="text1"/>
          <w:sz w:val="24"/>
          <w:szCs w:val="24"/>
        </w:rPr>
        <w:t xml:space="preserve"> Floor, TF Complex,</w:t>
      </w:r>
    </w:p>
    <w:p w14:paraId="7589AA44" w14:textId="77777777" w:rsidR="00193ADC" w:rsidRPr="004C6FF7" w:rsidRDefault="00193ADC" w:rsidP="00193ADC">
      <w:pPr>
        <w:pStyle w:val="ListParagraph"/>
        <w:tabs>
          <w:tab w:val="left" w:pos="1710"/>
        </w:tabs>
        <w:ind w:left="1710"/>
        <w:rPr>
          <w:color w:val="000000" w:themeColor="text1"/>
          <w:sz w:val="24"/>
          <w:szCs w:val="24"/>
        </w:rPr>
      </w:pPr>
      <w:r w:rsidRPr="004C6FF7">
        <w:rPr>
          <w:color w:val="000000" w:themeColor="text1"/>
          <w:sz w:val="24"/>
          <w:szCs w:val="24"/>
        </w:rPr>
        <w:tab/>
        <w:t xml:space="preserve">7-Mauve Area, Islamabad. </w:t>
      </w:r>
    </w:p>
    <w:p w14:paraId="3D55E69E" w14:textId="77777777" w:rsidR="00193ADC" w:rsidRPr="00193ADC" w:rsidRDefault="00193ADC" w:rsidP="00193ADC">
      <w:pPr>
        <w:pStyle w:val="ListParagraph"/>
        <w:tabs>
          <w:tab w:val="left" w:pos="1710"/>
        </w:tabs>
        <w:ind w:left="1710"/>
        <w:rPr>
          <w:sz w:val="24"/>
          <w:szCs w:val="24"/>
        </w:rPr>
      </w:pPr>
      <w:r w:rsidRPr="00193ADC">
        <w:rPr>
          <w:sz w:val="24"/>
          <w:szCs w:val="24"/>
        </w:rPr>
        <w:tab/>
        <w:t>Phone No: +92519107413, +92-51-927299</w:t>
      </w:r>
    </w:p>
    <w:p w14:paraId="237D153D" w14:textId="77777777" w:rsidR="00193ADC" w:rsidRPr="00193ADC" w:rsidRDefault="00193ADC" w:rsidP="00193ADC">
      <w:pPr>
        <w:pStyle w:val="ListParagraph"/>
        <w:tabs>
          <w:tab w:val="left" w:pos="1710"/>
        </w:tabs>
        <w:ind w:left="1710"/>
        <w:rPr>
          <w:sz w:val="24"/>
          <w:szCs w:val="24"/>
        </w:rPr>
      </w:pPr>
      <w:r w:rsidRPr="00193ADC">
        <w:rPr>
          <w:sz w:val="24"/>
          <w:szCs w:val="24"/>
        </w:rPr>
        <w:tab/>
        <w:t xml:space="preserve">Email Address: </w:t>
      </w:r>
      <w:hyperlink r:id="rId47" w:history="1">
        <w:r w:rsidRPr="00193ADC">
          <w:rPr>
            <w:rStyle w:val="Hyperlink"/>
            <w:sz w:val="24"/>
            <w:szCs w:val="24"/>
          </w:rPr>
          <w:t>npc@dra.gov.pk</w:t>
        </w:r>
      </w:hyperlink>
      <w:r w:rsidRPr="00193ADC">
        <w:rPr>
          <w:sz w:val="24"/>
          <w:szCs w:val="24"/>
        </w:rPr>
        <w:t xml:space="preserve"> </w:t>
      </w:r>
    </w:p>
    <w:p w14:paraId="10A496D6" w14:textId="77777777" w:rsidR="00193ADC" w:rsidRPr="00193ADC" w:rsidRDefault="00193ADC" w:rsidP="00193ADC">
      <w:pPr>
        <w:pStyle w:val="ListParagraph"/>
        <w:tabs>
          <w:tab w:val="left" w:pos="1710"/>
        </w:tabs>
        <w:ind w:left="1710"/>
        <w:rPr>
          <w:sz w:val="24"/>
          <w:szCs w:val="24"/>
        </w:rPr>
      </w:pPr>
      <w:r w:rsidRPr="00193ADC">
        <w:rPr>
          <w:sz w:val="24"/>
          <w:szCs w:val="24"/>
        </w:rPr>
        <w:tab/>
        <w:t xml:space="preserve">Website: </w:t>
      </w:r>
      <w:hyperlink r:id="rId48" w:history="1">
        <w:r w:rsidRPr="00193ADC">
          <w:rPr>
            <w:rStyle w:val="Hyperlink"/>
            <w:sz w:val="24"/>
            <w:szCs w:val="24"/>
          </w:rPr>
          <w:t>www.dra.gov.pk</w:t>
        </w:r>
      </w:hyperlink>
      <w:r w:rsidRPr="00193ADC">
        <w:rPr>
          <w:sz w:val="24"/>
          <w:szCs w:val="24"/>
        </w:rPr>
        <w:t xml:space="preserve"> </w:t>
      </w:r>
    </w:p>
    <w:p w14:paraId="65385060" w14:textId="77777777" w:rsidR="00193ADC" w:rsidRPr="00193ADC" w:rsidRDefault="00193ADC" w:rsidP="00D91547">
      <w:pPr>
        <w:pStyle w:val="NormalWeb"/>
        <w:shd w:val="clear" w:color="auto" w:fill="FFFFFF"/>
        <w:spacing w:before="0" w:beforeAutospacing="0" w:after="120" w:afterAutospacing="0" w:line="360" w:lineRule="auto"/>
        <w:ind w:left="540"/>
        <w:jc w:val="both"/>
        <w:textAlignment w:val="baseline"/>
        <w:rPr>
          <w:b/>
          <w:bCs/>
          <w:color w:val="000000" w:themeColor="text1"/>
          <w:sz w:val="26"/>
          <w:szCs w:val="26"/>
        </w:rPr>
      </w:pPr>
    </w:p>
    <w:p w14:paraId="7E19FC08" w14:textId="3B5CF784" w:rsidR="00D91547" w:rsidRDefault="00D91547" w:rsidP="00D91547">
      <w:pPr>
        <w:pStyle w:val="NormalWeb"/>
        <w:shd w:val="clear" w:color="auto" w:fill="FFFFFF"/>
        <w:spacing w:before="0" w:beforeAutospacing="0" w:after="120" w:afterAutospacing="0" w:line="360" w:lineRule="auto"/>
        <w:ind w:left="540"/>
        <w:jc w:val="both"/>
        <w:textAlignment w:val="baseline"/>
        <w:rPr>
          <w:b/>
          <w:bCs/>
          <w:i/>
          <w:iCs/>
          <w:color w:val="000000" w:themeColor="text1"/>
          <w:sz w:val="26"/>
          <w:szCs w:val="26"/>
        </w:rPr>
      </w:pPr>
      <w:r w:rsidRPr="00D91547">
        <w:rPr>
          <w:b/>
          <w:bCs/>
          <w:i/>
          <w:iCs/>
          <w:color w:val="000000" w:themeColor="text1"/>
          <w:sz w:val="26"/>
          <w:szCs w:val="26"/>
        </w:rPr>
        <w:t>E. E2B X</w:t>
      </w:r>
      <w:r w:rsidR="00BC4D3B">
        <w:rPr>
          <w:b/>
          <w:bCs/>
          <w:i/>
          <w:iCs/>
          <w:color w:val="000000" w:themeColor="text1"/>
          <w:sz w:val="26"/>
          <w:szCs w:val="26"/>
        </w:rPr>
        <w:t>ML</w:t>
      </w:r>
      <w:r w:rsidRPr="00D91547">
        <w:rPr>
          <w:b/>
          <w:bCs/>
          <w:i/>
          <w:iCs/>
          <w:color w:val="000000" w:themeColor="text1"/>
          <w:sz w:val="26"/>
          <w:szCs w:val="26"/>
        </w:rPr>
        <w:t xml:space="preserve"> Reporting</w:t>
      </w:r>
    </w:p>
    <w:p w14:paraId="72B4CE0E" w14:textId="68C6E5B6" w:rsidR="00BC4D3B" w:rsidRPr="00BC4D3B" w:rsidRDefault="00BC4D3B" w:rsidP="00BC4D3B">
      <w:pPr>
        <w:pStyle w:val="NormalWeb"/>
        <w:shd w:val="clear" w:color="auto" w:fill="FFFFFF"/>
        <w:spacing w:before="0" w:beforeAutospacing="0" w:after="120" w:afterAutospacing="0" w:line="360" w:lineRule="auto"/>
        <w:ind w:left="540"/>
        <w:jc w:val="both"/>
        <w:textAlignment w:val="baseline"/>
        <w:rPr>
          <w:color w:val="0563C1" w:themeColor="hyperlink"/>
          <w:u w:val="single"/>
        </w:rPr>
      </w:pPr>
      <w:r w:rsidRPr="008E79FE">
        <w:rPr>
          <w:color w:val="000000" w:themeColor="text1"/>
          <w:sz w:val="26"/>
          <w:szCs w:val="26"/>
        </w:rPr>
        <w:t>This method of transfer is for multinational registration holders and those companies having facilities to generate ICSRs as per ICS E2B (R2) or (R3) format. The E2Bxml file should be sent to NPC official email address</w:t>
      </w:r>
      <w:r w:rsidRPr="008E79FE">
        <w:rPr>
          <w:color w:val="000000" w:themeColor="text1"/>
        </w:rPr>
        <w:t xml:space="preserve">: </w:t>
      </w:r>
      <w:hyperlink r:id="rId49" w:history="1">
        <w:r w:rsidRPr="00BC4D3B">
          <w:rPr>
            <w:rStyle w:val="Hyperlink"/>
          </w:rPr>
          <w:t>npc@dra.gov.pk</w:t>
        </w:r>
      </w:hyperlink>
      <w:r>
        <w:rPr>
          <w:rStyle w:val="Hyperlink"/>
        </w:rPr>
        <w:t xml:space="preserve"> </w:t>
      </w:r>
      <w:r>
        <w:rPr>
          <w:color w:val="000000" w:themeColor="text1"/>
          <w:sz w:val="26"/>
          <w:szCs w:val="26"/>
        </w:rPr>
        <w:t>a</w:t>
      </w:r>
      <w:r w:rsidRPr="00BC4D3B">
        <w:rPr>
          <w:color w:val="000000" w:themeColor="text1"/>
          <w:sz w:val="26"/>
          <w:szCs w:val="26"/>
        </w:rPr>
        <w:t xml:space="preserve">s per </w:t>
      </w:r>
      <w:r>
        <w:rPr>
          <w:color w:val="000000" w:themeColor="text1"/>
          <w:sz w:val="26"/>
          <w:szCs w:val="26"/>
        </w:rPr>
        <w:t xml:space="preserve">the </w:t>
      </w:r>
      <w:r w:rsidRPr="00BC4D3B">
        <w:rPr>
          <w:color w:val="000000" w:themeColor="text1"/>
          <w:sz w:val="26"/>
          <w:szCs w:val="26"/>
        </w:rPr>
        <w:t>timelines pr</w:t>
      </w:r>
      <w:r>
        <w:rPr>
          <w:color w:val="000000" w:themeColor="text1"/>
          <w:sz w:val="26"/>
          <w:szCs w:val="26"/>
        </w:rPr>
        <w:t>ovid</w:t>
      </w:r>
      <w:r w:rsidRPr="00BC4D3B">
        <w:rPr>
          <w:color w:val="000000" w:themeColor="text1"/>
          <w:sz w:val="26"/>
          <w:szCs w:val="26"/>
        </w:rPr>
        <w:t xml:space="preserve">ed in </w:t>
      </w:r>
      <w:r>
        <w:rPr>
          <w:color w:val="000000" w:themeColor="text1"/>
          <w:sz w:val="26"/>
          <w:szCs w:val="26"/>
        </w:rPr>
        <w:t>the Pharmacovigilance R</w:t>
      </w:r>
      <w:r w:rsidRPr="00BC4D3B">
        <w:rPr>
          <w:color w:val="000000" w:themeColor="text1"/>
          <w:sz w:val="26"/>
          <w:szCs w:val="26"/>
        </w:rPr>
        <w:t>ules</w:t>
      </w:r>
      <w:r>
        <w:rPr>
          <w:color w:val="000000" w:themeColor="text1"/>
          <w:sz w:val="26"/>
          <w:szCs w:val="26"/>
        </w:rPr>
        <w:t>, 2022</w:t>
      </w:r>
      <w:r w:rsidRPr="00BC4D3B">
        <w:rPr>
          <w:color w:val="000000" w:themeColor="text1"/>
          <w:sz w:val="26"/>
          <w:szCs w:val="26"/>
        </w:rPr>
        <w:t>.</w:t>
      </w:r>
    </w:p>
    <w:p w14:paraId="3086C098" w14:textId="566F2EBB" w:rsidR="00D91547" w:rsidRDefault="00D91547" w:rsidP="00D91547">
      <w:pPr>
        <w:pStyle w:val="NormalWeb"/>
        <w:shd w:val="clear" w:color="auto" w:fill="FFFFFF"/>
        <w:spacing w:before="0" w:beforeAutospacing="0" w:after="120" w:afterAutospacing="0" w:line="360" w:lineRule="auto"/>
        <w:ind w:left="540"/>
        <w:jc w:val="both"/>
        <w:textAlignment w:val="baseline"/>
        <w:rPr>
          <w:b/>
          <w:bCs/>
          <w:i/>
          <w:iCs/>
          <w:color w:val="000000" w:themeColor="text1"/>
          <w:sz w:val="26"/>
          <w:szCs w:val="26"/>
        </w:rPr>
      </w:pPr>
      <w:r w:rsidRPr="00D91547">
        <w:rPr>
          <w:b/>
          <w:bCs/>
          <w:i/>
          <w:iCs/>
          <w:color w:val="000000" w:themeColor="text1"/>
          <w:sz w:val="26"/>
          <w:szCs w:val="26"/>
        </w:rPr>
        <w:t xml:space="preserve">F. Reporting through </w:t>
      </w:r>
      <w:proofErr w:type="spellStart"/>
      <w:r w:rsidRPr="00D91547">
        <w:rPr>
          <w:b/>
          <w:bCs/>
          <w:i/>
          <w:iCs/>
          <w:color w:val="000000" w:themeColor="text1"/>
          <w:sz w:val="26"/>
          <w:szCs w:val="26"/>
        </w:rPr>
        <w:t>VigiFlow</w:t>
      </w:r>
      <w:proofErr w:type="spellEnd"/>
      <w:r w:rsidR="00BC4D3B">
        <w:rPr>
          <w:b/>
          <w:bCs/>
          <w:i/>
          <w:iCs/>
          <w:color w:val="000000" w:themeColor="text1"/>
          <w:sz w:val="26"/>
          <w:szCs w:val="26"/>
        </w:rPr>
        <w:t>.</w:t>
      </w:r>
    </w:p>
    <w:p w14:paraId="50010402" w14:textId="4A0D8A68" w:rsidR="009B4485" w:rsidRDefault="00BC4D3B" w:rsidP="00C93BBD">
      <w:pPr>
        <w:pStyle w:val="NormalWeb"/>
        <w:shd w:val="clear" w:color="auto" w:fill="FFFFFF"/>
        <w:spacing w:before="0" w:beforeAutospacing="0" w:after="120" w:afterAutospacing="0" w:line="360" w:lineRule="auto"/>
        <w:ind w:left="540"/>
        <w:jc w:val="both"/>
        <w:textAlignment w:val="baseline"/>
        <w:rPr>
          <w:color w:val="000000" w:themeColor="text1"/>
          <w:sz w:val="26"/>
          <w:szCs w:val="26"/>
        </w:rPr>
      </w:pPr>
      <w:proofErr w:type="spellStart"/>
      <w:r w:rsidRPr="00BC4D3B">
        <w:rPr>
          <w:color w:val="000000" w:themeColor="text1"/>
          <w:sz w:val="26"/>
          <w:szCs w:val="26"/>
        </w:rPr>
        <w:t>VigiFlow</w:t>
      </w:r>
      <w:proofErr w:type="spellEnd"/>
      <w:r w:rsidRPr="00BC4D3B">
        <w:rPr>
          <w:color w:val="000000" w:themeColor="text1"/>
          <w:sz w:val="26"/>
          <w:szCs w:val="26"/>
        </w:rPr>
        <w:t xml:space="preserve"> is the National database used by NPC, DRAP. Logins of </w:t>
      </w:r>
      <w:proofErr w:type="spellStart"/>
      <w:r w:rsidRPr="00BC4D3B">
        <w:rPr>
          <w:color w:val="000000" w:themeColor="text1"/>
          <w:sz w:val="26"/>
          <w:szCs w:val="26"/>
        </w:rPr>
        <w:t>VigiFlow</w:t>
      </w:r>
      <w:proofErr w:type="spellEnd"/>
      <w:r w:rsidRPr="00BC4D3B">
        <w:rPr>
          <w:color w:val="000000" w:themeColor="text1"/>
          <w:sz w:val="26"/>
          <w:szCs w:val="26"/>
        </w:rPr>
        <w:t xml:space="preserve"> </w:t>
      </w:r>
      <w:r>
        <w:rPr>
          <w:color w:val="000000" w:themeColor="text1"/>
          <w:sz w:val="26"/>
          <w:szCs w:val="26"/>
        </w:rPr>
        <w:t>are</w:t>
      </w:r>
      <w:r w:rsidRPr="00BC4D3B">
        <w:rPr>
          <w:color w:val="000000" w:themeColor="text1"/>
          <w:sz w:val="26"/>
          <w:szCs w:val="26"/>
        </w:rPr>
        <w:t xml:space="preserve"> b</w:t>
      </w:r>
      <w:r>
        <w:rPr>
          <w:color w:val="000000" w:themeColor="text1"/>
          <w:sz w:val="26"/>
          <w:szCs w:val="26"/>
        </w:rPr>
        <w:t>ei</w:t>
      </w:r>
      <w:r w:rsidRPr="00BC4D3B">
        <w:rPr>
          <w:color w:val="000000" w:themeColor="text1"/>
          <w:sz w:val="26"/>
          <w:szCs w:val="26"/>
        </w:rPr>
        <w:t xml:space="preserve">ng provided to Provincial Pharmacovigilance </w:t>
      </w:r>
      <w:proofErr w:type="spellStart"/>
      <w:r w:rsidRPr="00BC4D3B">
        <w:rPr>
          <w:color w:val="000000" w:themeColor="text1"/>
          <w:sz w:val="26"/>
          <w:szCs w:val="26"/>
        </w:rPr>
        <w:t>Centre</w:t>
      </w:r>
      <w:r>
        <w:rPr>
          <w:color w:val="000000" w:themeColor="text1"/>
          <w:sz w:val="26"/>
          <w:szCs w:val="26"/>
        </w:rPr>
        <w:t>s</w:t>
      </w:r>
      <w:proofErr w:type="spellEnd"/>
      <w:r w:rsidRPr="00BC4D3B">
        <w:rPr>
          <w:color w:val="000000" w:themeColor="text1"/>
          <w:sz w:val="26"/>
          <w:szCs w:val="26"/>
        </w:rPr>
        <w:t xml:space="preserve">, Public Health </w:t>
      </w:r>
      <w:proofErr w:type="spellStart"/>
      <w:r w:rsidRPr="00BC4D3B">
        <w:rPr>
          <w:color w:val="000000" w:themeColor="text1"/>
          <w:sz w:val="26"/>
          <w:szCs w:val="26"/>
        </w:rPr>
        <w:t>Programmes</w:t>
      </w:r>
      <w:proofErr w:type="spellEnd"/>
      <w:r w:rsidRPr="00BC4D3B">
        <w:rPr>
          <w:color w:val="000000" w:themeColor="text1"/>
          <w:sz w:val="26"/>
          <w:szCs w:val="26"/>
        </w:rPr>
        <w:t xml:space="preserve"> and Public Sector Hospitals on the recommendation of a province. </w:t>
      </w:r>
      <w:r>
        <w:rPr>
          <w:color w:val="000000" w:themeColor="text1"/>
          <w:sz w:val="26"/>
          <w:szCs w:val="26"/>
        </w:rPr>
        <w:t xml:space="preserve">The aforementioned stakeholders would have to report the ICSRs through </w:t>
      </w:r>
      <w:proofErr w:type="spellStart"/>
      <w:r>
        <w:rPr>
          <w:color w:val="000000" w:themeColor="text1"/>
          <w:sz w:val="26"/>
          <w:szCs w:val="26"/>
        </w:rPr>
        <w:t>VigiFlow</w:t>
      </w:r>
      <w:proofErr w:type="spellEnd"/>
      <w:r>
        <w:rPr>
          <w:color w:val="000000" w:themeColor="text1"/>
          <w:sz w:val="26"/>
          <w:szCs w:val="26"/>
        </w:rPr>
        <w:t xml:space="preserve"> once the logins are </w:t>
      </w:r>
      <w:r>
        <w:rPr>
          <w:color w:val="000000" w:themeColor="text1"/>
          <w:sz w:val="26"/>
          <w:szCs w:val="26"/>
        </w:rPr>
        <w:lastRenderedPageBreak/>
        <w:t xml:space="preserve">provided. Furthermore, the </w:t>
      </w:r>
      <w:proofErr w:type="spellStart"/>
      <w:r w:rsidR="00412AC6">
        <w:rPr>
          <w:color w:val="000000" w:themeColor="text1"/>
          <w:sz w:val="26"/>
          <w:szCs w:val="26"/>
        </w:rPr>
        <w:t>VigiFlow</w:t>
      </w:r>
      <w:proofErr w:type="spellEnd"/>
      <w:r w:rsidR="00412AC6">
        <w:rPr>
          <w:color w:val="000000" w:themeColor="text1"/>
          <w:sz w:val="26"/>
          <w:szCs w:val="26"/>
        </w:rPr>
        <w:t xml:space="preserve"> is only being used for reporting ADRs not for any other purpose.</w:t>
      </w:r>
    </w:p>
    <w:p w14:paraId="04838FE7" w14:textId="31DA76A7" w:rsidR="00C93BBD" w:rsidRPr="00C93BBD" w:rsidRDefault="00C93BBD" w:rsidP="00C93BBD">
      <w:pPr>
        <w:rPr>
          <w:sz w:val="28"/>
          <w:szCs w:val="28"/>
        </w:rPr>
      </w:pPr>
      <w:r w:rsidRPr="00C93BBD">
        <w:rPr>
          <w:sz w:val="28"/>
          <w:szCs w:val="28"/>
        </w:rPr>
        <w:t xml:space="preserve">4.5 </w:t>
      </w:r>
      <w:r w:rsidRPr="00C93BBD">
        <w:rPr>
          <w:b/>
          <w:bCs/>
          <w:sz w:val="28"/>
          <w:szCs w:val="28"/>
          <w:u w:val="single"/>
        </w:rPr>
        <w:t>Where and how to report?</w:t>
      </w:r>
    </w:p>
    <w:tbl>
      <w:tblPr>
        <w:tblStyle w:val="TableGrid"/>
        <w:tblW w:w="0" w:type="auto"/>
        <w:tblLook w:val="04A0" w:firstRow="1" w:lastRow="0" w:firstColumn="1" w:lastColumn="0" w:noHBand="0" w:noVBand="1"/>
      </w:tblPr>
      <w:tblGrid>
        <w:gridCol w:w="625"/>
        <w:gridCol w:w="2790"/>
        <w:gridCol w:w="3510"/>
        <w:gridCol w:w="2425"/>
      </w:tblGrid>
      <w:tr w:rsidR="006F1722" w14:paraId="61FC51D9" w14:textId="77777777" w:rsidTr="00D24121">
        <w:trPr>
          <w:trHeight w:val="217"/>
        </w:trPr>
        <w:tc>
          <w:tcPr>
            <w:tcW w:w="625" w:type="dxa"/>
          </w:tcPr>
          <w:p w14:paraId="3819423C" w14:textId="342B7CB0" w:rsidR="006F1722" w:rsidRPr="00D24121" w:rsidRDefault="006F1722" w:rsidP="00D24121">
            <w:pPr>
              <w:spacing w:line="276" w:lineRule="auto"/>
              <w:ind w:left="-30" w:hanging="30"/>
              <w:jc w:val="both"/>
              <w:rPr>
                <w:b/>
                <w:sz w:val="20"/>
                <w:szCs w:val="20"/>
              </w:rPr>
            </w:pPr>
            <w:r w:rsidRPr="00D24121">
              <w:rPr>
                <w:b/>
                <w:sz w:val="20"/>
                <w:szCs w:val="20"/>
              </w:rPr>
              <w:t>S. No</w:t>
            </w:r>
          </w:p>
        </w:tc>
        <w:tc>
          <w:tcPr>
            <w:tcW w:w="2790" w:type="dxa"/>
          </w:tcPr>
          <w:p w14:paraId="3C0ECDF7" w14:textId="5FF858D9" w:rsidR="006F1722" w:rsidRPr="00D24121" w:rsidRDefault="006F1722" w:rsidP="006F1722">
            <w:pPr>
              <w:spacing w:line="276" w:lineRule="auto"/>
              <w:jc w:val="both"/>
              <w:rPr>
                <w:b/>
                <w:sz w:val="20"/>
                <w:szCs w:val="20"/>
              </w:rPr>
            </w:pPr>
            <w:r w:rsidRPr="00D24121">
              <w:rPr>
                <w:b/>
                <w:sz w:val="20"/>
                <w:szCs w:val="20"/>
              </w:rPr>
              <w:t>Name of Stakeholder</w:t>
            </w:r>
          </w:p>
        </w:tc>
        <w:tc>
          <w:tcPr>
            <w:tcW w:w="3510" w:type="dxa"/>
          </w:tcPr>
          <w:p w14:paraId="1F00523A" w14:textId="43CF3D63" w:rsidR="006F1722" w:rsidRPr="00D24121" w:rsidRDefault="006F1722" w:rsidP="006F1722">
            <w:pPr>
              <w:spacing w:line="276" w:lineRule="auto"/>
              <w:jc w:val="both"/>
              <w:rPr>
                <w:b/>
                <w:sz w:val="20"/>
                <w:szCs w:val="20"/>
              </w:rPr>
            </w:pPr>
            <w:r w:rsidRPr="00D24121">
              <w:rPr>
                <w:b/>
                <w:sz w:val="20"/>
                <w:szCs w:val="20"/>
              </w:rPr>
              <w:t>Means of Reporting</w:t>
            </w:r>
          </w:p>
        </w:tc>
        <w:tc>
          <w:tcPr>
            <w:tcW w:w="2425" w:type="dxa"/>
          </w:tcPr>
          <w:p w14:paraId="6A5F3836" w14:textId="150BA7CC" w:rsidR="006F1722" w:rsidRPr="00D24121" w:rsidRDefault="006F1722" w:rsidP="006F1722">
            <w:pPr>
              <w:spacing w:line="276" w:lineRule="auto"/>
              <w:jc w:val="both"/>
              <w:rPr>
                <w:b/>
                <w:sz w:val="20"/>
                <w:szCs w:val="20"/>
              </w:rPr>
            </w:pPr>
            <w:r w:rsidRPr="00D24121">
              <w:rPr>
                <w:b/>
                <w:sz w:val="20"/>
                <w:szCs w:val="20"/>
              </w:rPr>
              <w:t>Where to Report</w:t>
            </w:r>
          </w:p>
        </w:tc>
      </w:tr>
      <w:tr w:rsidR="006F1722" w14:paraId="292127D8" w14:textId="77777777" w:rsidTr="00D24121">
        <w:tc>
          <w:tcPr>
            <w:tcW w:w="625" w:type="dxa"/>
          </w:tcPr>
          <w:p w14:paraId="27DCD0B1" w14:textId="1D60C225" w:rsidR="006F1722" w:rsidRPr="00153681" w:rsidRDefault="006F1722" w:rsidP="00153681">
            <w:pPr>
              <w:spacing w:line="276" w:lineRule="auto"/>
              <w:jc w:val="both"/>
              <w:rPr>
                <w:bCs/>
                <w:sz w:val="20"/>
                <w:szCs w:val="20"/>
              </w:rPr>
            </w:pPr>
            <w:r w:rsidRPr="00153681">
              <w:rPr>
                <w:bCs/>
                <w:sz w:val="20"/>
                <w:szCs w:val="20"/>
              </w:rPr>
              <w:t>1</w:t>
            </w:r>
          </w:p>
        </w:tc>
        <w:tc>
          <w:tcPr>
            <w:tcW w:w="2790" w:type="dxa"/>
          </w:tcPr>
          <w:p w14:paraId="5D3EEE7D" w14:textId="6AF3193A" w:rsidR="006F1722" w:rsidRPr="00153681" w:rsidRDefault="006F1722" w:rsidP="00153681">
            <w:pPr>
              <w:spacing w:line="276" w:lineRule="auto"/>
              <w:jc w:val="both"/>
              <w:rPr>
                <w:bCs/>
                <w:sz w:val="20"/>
                <w:szCs w:val="20"/>
              </w:rPr>
            </w:pPr>
            <w:r w:rsidRPr="00153681">
              <w:rPr>
                <w:bCs/>
                <w:sz w:val="20"/>
                <w:szCs w:val="20"/>
              </w:rPr>
              <w:t>Provincial Pharmacovigilance Centres</w:t>
            </w:r>
          </w:p>
        </w:tc>
        <w:tc>
          <w:tcPr>
            <w:tcW w:w="3510" w:type="dxa"/>
          </w:tcPr>
          <w:p w14:paraId="52502998" w14:textId="7F59E5E6" w:rsidR="006F1722" w:rsidRPr="00153681" w:rsidRDefault="006F1722" w:rsidP="00153681">
            <w:pPr>
              <w:spacing w:line="276" w:lineRule="auto"/>
              <w:jc w:val="both"/>
              <w:rPr>
                <w:bCs/>
                <w:sz w:val="20"/>
                <w:szCs w:val="20"/>
              </w:rPr>
            </w:pPr>
            <w:proofErr w:type="spellStart"/>
            <w:r w:rsidRPr="00153681">
              <w:rPr>
                <w:bCs/>
                <w:sz w:val="20"/>
                <w:szCs w:val="20"/>
              </w:rPr>
              <w:t>VigiFlow</w:t>
            </w:r>
            <w:proofErr w:type="spellEnd"/>
          </w:p>
        </w:tc>
        <w:tc>
          <w:tcPr>
            <w:tcW w:w="2425" w:type="dxa"/>
          </w:tcPr>
          <w:p w14:paraId="6858938B" w14:textId="216B0401" w:rsidR="006F1722" w:rsidRPr="00153681" w:rsidRDefault="006F1722" w:rsidP="00153681">
            <w:pPr>
              <w:spacing w:line="276" w:lineRule="auto"/>
              <w:jc w:val="both"/>
              <w:rPr>
                <w:bCs/>
                <w:sz w:val="20"/>
                <w:szCs w:val="20"/>
              </w:rPr>
            </w:pPr>
            <w:r w:rsidRPr="00153681">
              <w:rPr>
                <w:bCs/>
                <w:sz w:val="20"/>
                <w:szCs w:val="20"/>
              </w:rPr>
              <w:t>NPC, DRAP</w:t>
            </w:r>
          </w:p>
        </w:tc>
      </w:tr>
      <w:tr w:rsidR="006F1722" w14:paraId="6DC66B83" w14:textId="77777777" w:rsidTr="00D24121">
        <w:tc>
          <w:tcPr>
            <w:tcW w:w="625" w:type="dxa"/>
          </w:tcPr>
          <w:p w14:paraId="780255F8" w14:textId="2404B76C" w:rsidR="006F1722" w:rsidRPr="00153681" w:rsidRDefault="006F1722" w:rsidP="00153681">
            <w:pPr>
              <w:spacing w:line="276" w:lineRule="auto"/>
              <w:jc w:val="both"/>
              <w:rPr>
                <w:bCs/>
                <w:sz w:val="20"/>
                <w:szCs w:val="20"/>
              </w:rPr>
            </w:pPr>
            <w:r w:rsidRPr="00153681">
              <w:rPr>
                <w:bCs/>
                <w:sz w:val="20"/>
                <w:szCs w:val="20"/>
              </w:rPr>
              <w:t>2</w:t>
            </w:r>
          </w:p>
        </w:tc>
        <w:tc>
          <w:tcPr>
            <w:tcW w:w="2790" w:type="dxa"/>
          </w:tcPr>
          <w:p w14:paraId="0CA8F665" w14:textId="25E12C05" w:rsidR="006F1722" w:rsidRPr="00153681" w:rsidRDefault="006F1722" w:rsidP="00153681">
            <w:pPr>
              <w:spacing w:line="276" w:lineRule="auto"/>
              <w:jc w:val="both"/>
              <w:rPr>
                <w:bCs/>
                <w:sz w:val="20"/>
                <w:szCs w:val="20"/>
              </w:rPr>
            </w:pPr>
            <w:r w:rsidRPr="00153681">
              <w:rPr>
                <w:bCs/>
                <w:sz w:val="20"/>
                <w:szCs w:val="20"/>
              </w:rPr>
              <w:t>Public Health Programmes</w:t>
            </w:r>
          </w:p>
        </w:tc>
        <w:tc>
          <w:tcPr>
            <w:tcW w:w="3510" w:type="dxa"/>
          </w:tcPr>
          <w:p w14:paraId="4901385D" w14:textId="36D591E8" w:rsidR="006F1722" w:rsidRPr="00153681" w:rsidRDefault="006F1722" w:rsidP="00153681">
            <w:pPr>
              <w:spacing w:line="276" w:lineRule="auto"/>
              <w:jc w:val="both"/>
              <w:rPr>
                <w:bCs/>
                <w:sz w:val="20"/>
                <w:szCs w:val="20"/>
              </w:rPr>
            </w:pPr>
            <w:proofErr w:type="spellStart"/>
            <w:r w:rsidRPr="00153681">
              <w:rPr>
                <w:bCs/>
                <w:sz w:val="20"/>
                <w:szCs w:val="20"/>
              </w:rPr>
              <w:t>VigiFlow</w:t>
            </w:r>
            <w:proofErr w:type="spellEnd"/>
          </w:p>
        </w:tc>
        <w:tc>
          <w:tcPr>
            <w:tcW w:w="2425" w:type="dxa"/>
          </w:tcPr>
          <w:p w14:paraId="4EDC200D" w14:textId="72B85D53" w:rsidR="006F1722" w:rsidRPr="00153681" w:rsidRDefault="006F1722" w:rsidP="00153681">
            <w:pPr>
              <w:spacing w:line="276" w:lineRule="auto"/>
              <w:jc w:val="both"/>
              <w:rPr>
                <w:bCs/>
                <w:sz w:val="20"/>
                <w:szCs w:val="20"/>
              </w:rPr>
            </w:pPr>
            <w:r w:rsidRPr="00153681">
              <w:rPr>
                <w:bCs/>
                <w:sz w:val="20"/>
                <w:szCs w:val="20"/>
              </w:rPr>
              <w:t>NPC, DRAP</w:t>
            </w:r>
          </w:p>
        </w:tc>
      </w:tr>
      <w:tr w:rsidR="006F1722" w14:paraId="0856F785" w14:textId="77777777" w:rsidTr="00D24121">
        <w:tc>
          <w:tcPr>
            <w:tcW w:w="625" w:type="dxa"/>
          </w:tcPr>
          <w:p w14:paraId="701763CB" w14:textId="63FD63A1" w:rsidR="006F1722" w:rsidRPr="00153681" w:rsidRDefault="006F1722" w:rsidP="00153681">
            <w:pPr>
              <w:spacing w:line="276" w:lineRule="auto"/>
              <w:jc w:val="both"/>
              <w:rPr>
                <w:bCs/>
                <w:sz w:val="20"/>
                <w:szCs w:val="20"/>
              </w:rPr>
            </w:pPr>
            <w:r w:rsidRPr="00153681">
              <w:rPr>
                <w:bCs/>
                <w:sz w:val="20"/>
                <w:szCs w:val="20"/>
              </w:rPr>
              <w:t>3</w:t>
            </w:r>
          </w:p>
        </w:tc>
        <w:tc>
          <w:tcPr>
            <w:tcW w:w="2790" w:type="dxa"/>
          </w:tcPr>
          <w:p w14:paraId="4C5C4F77" w14:textId="4E1A06AC" w:rsidR="006F1722" w:rsidRPr="00153681" w:rsidRDefault="006F1722" w:rsidP="00153681">
            <w:pPr>
              <w:spacing w:line="276" w:lineRule="auto"/>
              <w:jc w:val="both"/>
              <w:rPr>
                <w:bCs/>
                <w:sz w:val="20"/>
                <w:szCs w:val="20"/>
              </w:rPr>
            </w:pPr>
            <w:r w:rsidRPr="00153681">
              <w:rPr>
                <w:bCs/>
                <w:sz w:val="20"/>
                <w:szCs w:val="20"/>
              </w:rPr>
              <w:t>Registration Holders</w:t>
            </w:r>
          </w:p>
        </w:tc>
        <w:tc>
          <w:tcPr>
            <w:tcW w:w="3510" w:type="dxa"/>
          </w:tcPr>
          <w:p w14:paraId="0D441542" w14:textId="77777777" w:rsidR="006F1722" w:rsidRPr="00153681" w:rsidRDefault="006F1722" w:rsidP="00B551AA">
            <w:pPr>
              <w:pStyle w:val="ListParagraph"/>
              <w:numPr>
                <w:ilvl w:val="0"/>
                <w:numId w:val="75"/>
              </w:numPr>
              <w:spacing w:line="276" w:lineRule="auto"/>
              <w:ind w:left="436" w:hanging="436"/>
              <w:contextualSpacing w:val="0"/>
              <w:jc w:val="both"/>
              <w:rPr>
                <w:bCs/>
                <w:sz w:val="20"/>
                <w:szCs w:val="20"/>
              </w:rPr>
            </w:pPr>
            <w:r w:rsidRPr="00153681">
              <w:rPr>
                <w:bCs/>
                <w:sz w:val="20"/>
                <w:szCs w:val="20"/>
              </w:rPr>
              <w:t>EB2 XML (Email reporting)</w:t>
            </w:r>
          </w:p>
          <w:p w14:paraId="0C6177A7" w14:textId="50ECC5B2" w:rsidR="006F1722" w:rsidRPr="00153681" w:rsidRDefault="006F1722" w:rsidP="00B551AA">
            <w:pPr>
              <w:pStyle w:val="ListParagraph"/>
              <w:numPr>
                <w:ilvl w:val="0"/>
                <w:numId w:val="75"/>
              </w:numPr>
              <w:spacing w:line="276" w:lineRule="auto"/>
              <w:ind w:left="436" w:hanging="436"/>
              <w:contextualSpacing w:val="0"/>
              <w:jc w:val="both"/>
              <w:rPr>
                <w:bCs/>
                <w:sz w:val="20"/>
                <w:szCs w:val="20"/>
              </w:rPr>
            </w:pPr>
            <w:r w:rsidRPr="00153681">
              <w:rPr>
                <w:bCs/>
                <w:sz w:val="20"/>
                <w:szCs w:val="20"/>
              </w:rPr>
              <w:t>CIOMS Form</w:t>
            </w:r>
            <w:r w:rsidR="005F6D3D" w:rsidRPr="00153681">
              <w:rPr>
                <w:bCs/>
                <w:sz w:val="20"/>
                <w:szCs w:val="20"/>
              </w:rPr>
              <w:t>s</w:t>
            </w:r>
            <w:r w:rsidRPr="00153681">
              <w:rPr>
                <w:bCs/>
                <w:sz w:val="20"/>
                <w:szCs w:val="20"/>
              </w:rPr>
              <w:t xml:space="preserve"> (Mailing Address)</w:t>
            </w:r>
          </w:p>
        </w:tc>
        <w:tc>
          <w:tcPr>
            <w:tcW w:w="2425" w:type="dxa"/>
          </w:tcPr>
          <w:p w14:paraId="1237F8F8" w14:textId="21A0404F" w:rsidR="006F1722" w:rsidRPr="00153681" w:rsidRDefault="006F1722" w:rsidP="00153681">
            <w:pPr>
              <w:spacing w:line="276" w:lineRule="auto"/>
              <w:jc w:val="both"/>
              <w:rPr>
                <w:bCs/>
                <w:sz w:val="20"/>
                <w:szCs w:val="20"/>
              </w:rPr>
            </w:pPr>
            <w:r w:rsidRPr="00153681">
              <w:rPr>
                <w:bCs/>
                <w:sz w:val="20"/>
                <w:szCs w:val="20"/>
              </w:rPr>
              <w:t>NPC, DRAP</w:t>
            </w:r>
          </w:p>
        </w:tc>
      </w:tr>
      <w:tr w:rsidR="006F1722" w14:paraId="47D350BC" w14:textId="77777777" w:rsidTr="00D24121">
        <w:tc>
          <w:tcPr>
            <w:tcW w:w="625" w:type="dxa"/>
          </w:tcPr>
          <w:p w14:paraId="0B62705A" w14:textId="0AE3F693" w:rsidR="006F1722" w:rsidRPr="00153681" w:rsidRDefault="006F1722" w:rsidP="00153681">
            <w:pPr>
              <w:spacing w:line="276" w:lineRule="auto"/>
              <w:jc w:val="both"/>
              <w:rPr>
                <w:bCs/>
                <w:sz w:val="20"/>
                <w:szCs w:val="20"/>
              </w:rPr>
            </w:pPr>
            <w:r w:rsidRPr="00153681">
              <w:rPr>
                <w:bCs/>
                <w:sz w:val="20"/>
                <w:szCs w:val="20"/>
              </w:rPr>
              <w:t>4</w:t>
            </w:r>
          </w:p>
        </w:tc>
        <w:tc>
          <w:tcPr>
            <w:tcW w:w="2790" w:type="dxa"/>
          </w:tcPr>
          <w:p w14:paraId="5A7CE7AA" w14:textId="4EDD20B8" w:rsidR="006F1722" w:rsidRPr="00153681" w:rsidRDefault="00A476E5" w:rsidP="00153681">
            <w:pPr>
              <w:spacing w:line="276" w:lineRule="auto"/>
              <w:jc w:val="both"/>
              <w:rPr>
                <w:bCs/>
                <w:sz w:val="20"/>
                <w:szCs w:val="20"/>
              </w:rPr>
            </w:pPr>
            <w:r w:rsidRPr="00153681">
              <w:rPr>
                <w:bCs/>
                <w:sz w:val="20"/>
                <w:szCs w:val="20"/>
              </w:rPr>
              <w:t>Public Hospitals</w:t>
            </w:r>
          </w:p>
        </w:tc>
        <w:tc>
          <w:tcPr>
            <w:tcW w:w="3510" w:type="dxa"/>
          </w:tcPr>
          <w:p w14:paraId="67A36A0A" w14:textId="143D11A2" w:rsidR="006F1722" w:rsidRPr="00153681" w:rsidRDefault="00A476E5" w:rsidP="00B551AA">
            <w:pPr>
              <w:pStyle w:val="ListParagraph"/>
              <w:numPr>
                <w:ilvl w:val="0"/>
                <w:numId w:val="76"/>
              </w:numPr>
              <w:spacing w:line="276" w:lineRule="auto"/>
              <w:ind w:left="436" w:hanging="436"/>
              <w:contextualSpacing w:val="0"/>
              <w:jc w:val="both"/>
              <w:rPr>
                <w:bCs/>
                <w:sz w:val="20"/>
                <w:szCs w:val="20"/>
              </w:rPr>
            </w:pPr>
            <w:proofErr w:type="spellStart"/>
            <w:r w:rsidRPr="00153681">
              <w:rPr>
                <w:bCs/>
                <w:sz w:val="20"/>
                <w:szCs w:val="20"/>
              </w:rPr>
              <w:t>VigiFlow</w:t>
            </w:r>
            <w:proofErr w:type="spellEnd"/>
            <w:r w:rsidRPr="00153681">
              <w:rPr>
                <w:bCs/>
                <w:sz w:val="20"/>
                <w:szCs w:val="20"/>
              </w:rPr>
              <w:t xml:space="preserve"> </w:t>
            </w:r>
          </w:p>
          <w:p w14:paraId="04D03CBA" w14:textId="5A69FF69" w:rsidR="00A476E5" w:rsidRPr="00153681" w:rsidRDefault="00A476E5" w:rsidP="00B551AA">
            <w:pPr>
              <w:pStyle w:val="ListParagraph"/>
              <w:numPr>
                <w:ilvl w:val="0"/>
                <w:numId w:val="76"/>
              </w:numPr>
              <w:spacing w:line="276" w:lineRule="auto"/>
              <w:ind w:left="436" w:hanging="436"/>
              <w:contextualSpacing w:val="0"/>
              <w:jc w:val="both"/>
              <w:rPr>
                <w:bCs/>
                <w:sz w:val="20"/>
                <w:szCs w:val="20"/>
              </w:rPr>
            </w:pPr>
            <w:r w:rsidRPr="00153681">
              <w:rPr>
                <w:bCs/>
                <w:sz w:val="20"/>
                <w:szCs w:val="20"/>
              </w:rPr>
              <w:t>Hard format reporting</w:t>
            </w:r>
            <w:r w:rsidR="00D31739" w:rsidRPr="00153681">
              <w:rPr>
                <w:bCs/>
                <w:sz w:val="20"/>
                <w:szCs w:val="20"/>
              </w:rPr>
              <w:t xml:space="preserve"> or other channels established by PPC</w:t>
            </w:r>
          </w:p>
        </w:tc>
        <w:tc>
          <w:tcPr>
            <w:tcW w:w="2425" w:type="dxa"/>
          </w:tcPr>
          <w:p w14:paraId="43B6687D" w14:textId="08FC1C0A" w:rsidR="006F1722" w:rsidRPr="00153681" w:rsidRDefault="00FC410C" w:rsidP="00153681">
            <w:pPr>
              <w:spacing w:line="276" w:lineRule="auto"/>
              <w:jc w:val="both"/>
              <w:rPr>
                <w:bCs/>
                <w:sz w:val="20"/>
                <w:szCs w:val="20"/>
              </w:rPr>
            </w:pPr>
            <w:r w:rsidRPr="00153681">
              <w:rPr>
                <w:bCs/>
                <w:sz w:val="20"/>
                <w:szCs w:val="20"/>
              </w:rPr>
              <w:t xml:space="preserve">Provincial </w:t>
            </w:r>
            <w:proofErr w:type="spellStart"/>
            <w:r w:rsidRPr="00153681">
              <w:rPr>
                <w:bCs/>
                <w:sz w:val="20"/>
                <w:szCs w:val="20"/>
              </w:rPr>
              <w:t>Pharmacovigilanc</w:t>
            </w:r>
            <w:proofErr w:type="spellEnd"/>
            <w:r w:rsidRPr="00153681">
              <w:rPr>
                <w:bCs/>
                <w:sz w:val="20"/>
                <w:szCs w:val="20"/>
              </w:rPr>
              <w:t xml:space="preserve"> Centre</w:t>
            </w:r>
          </w:p>
        </w:tc>
      </w:tr>
      <w:tr w:rsidR="006F1722" w14:paraId="7B4EA3E0" w14:textId="77777777" w:rsidTr="002773E0">
        <w:trPr>
          <w:trHeight w:val="667"/>
        </w:trPr>
        <w:tc>
          <w:tcPr>
            <w:tcW w:w="625" w:type="dxa"/>
          </w:tcPr>
          <w:p w14:paraId="10CD2786" w14:textId="66772C22" w:rsidR="006F1722" w:rsidRPr="00153681" w:rsidRDefault="006F1722" w:rsidP="00153681">
            <w:pPr>
              <w:spacing w:line="276" w:lineRule="auto"/>
              <w:jc w:val="both"/>
              <w:rPr>
                <w:bCs/>
                <w:sz w:val="20"/>
                <w:szCs w:val="20"/>
              </w:rPr>
            </w:pPr>
            <w:r w:rsidRPr="00153681">
              <w:rPr>
                <w:bCs/>
                <w:sz w:val="20"/>
                <w:szCs w:val="20"/>
              </w:rPr>
              <w:t>5</w:t>
            </w:r>
          </w:p>
        </w:tc>
        <w:tc>
          <w:tcPr>
            <w:tcW w:w="2790" w:type="dxa"/>
          </w:tcPr>
          <w:p w14:paraId="2971F063" w14:textId="25AB964E" w:rsidR="006F1722" w:rsidRPr="00153681" w:rsidRDefault="00355C6F" w:rsidP="00153681">
            <w:pPr>
              <w:spacing w:line="276" w:lineRule="auto"/>
              <w:jc w:val="both"/>
              <w:rPr>
                <w:bCs/>
                <w:sz w:val="20"/>
                <w:szCs w:val="20"/>
              </w:rPr>
            </w:pPr>
            <w:r w:rsidRPr="00153681">
              <w:rPr>
                <w:bCs/>
                <w:sz w:val="20"/>
                <w:szCs w:val="20"/>
              </w:rPr>
              <w:t>Private Hospitals</w:t>
            </w:r>
          </w:p>
        </w:tc>
        <w:tc>
          <w:tcPr>
            <w:tcW w:w="3510" w:type="dxa"/>
          </w:tcPr>
          <w:p w14:paraId="131FBBFE" w14:textId="37653EC7" w:rsidR="006F1722" w:rsidRPr="00153681" w:rsidRDefault="00355C6F" w:rsidP="00153681">
            <w:pPr>
              <w:spacing w:line="276" w:lineRule="auto"/>
              <w:jc w:val="both"/>
              <w:rPr>
                <w:bCs/>
                <w:sz w:val="20"/>
                <w:szCs w:val="20"/>
              </w:rPr>
            </w:pPr>
            <w:r w:rsidRPr="00153681">
              <w:rPr>
                <w:bCs/>
                <w:sz w:val="20"/>
                <w:szCs w:val="20"/>
              </w:rPr>
              <w:t>Hard format reporting or other channels established by PPC.</w:t>
            </w:r>
          </w:p>
        </w:tc>
        <w:tc>
          <w:tcPr>
            <w:tcW w:w="2425" w:type="dxa"/>
          </w:tcPr>
          <w:p w14:paraId="437BB153" w14:textId="4C6C4924" w:rsidR="006F1722" w:rsidRPr="00153681" w:rsidRDefault="00355C6F" w:rsidP="00153681">
            <w:pPr>
              <w:spacing w:line="276" w:lineRule="auto"/>
              <w:jc w:val="both"/>
              <w:rPr>
                <w:bCs/>
                <w:sz w:val="20"/>
                <w:szCs w:val="20"/>
              </w:rPr>
            </w:pPr>
            <w:r w:rsidRPr="00153681">
              <w:rPr>
                <w:bCs/>
                <w:sz w:val="20"/>
                <w:szCs w:val="20"/>
              </w:rPr>
              <w:t xml:space="preserve">Provincial </w:t>
            </w:r>
            <w:proofErr w:type="spellStart"/>
            <w:r w:rsidRPr="00153681">
              <w:rPr>
                <w:bCs/>
                <w:sz w:val="20"/>
                <w:szCs w:val="20"/>
              </w:rPr>
              <w:t>Pharmacovigilanc</w:t>
            </w:r>
            <w:proofErr w:type="spellEnd"/>
            <w:r w:rsidRPr="00153681">
              <w:rPr>
                <w:bCs/>
                <w:sz w:val="20"/>
                <w:szCs w:val="20"/>
              </w:rPr>
              <w:t xml:space="preserve"> Centre</w:t>
            </w:r>
          </w:p>
        </w:tc>
      </w:tr>
      <w:tr w:rsidR="00355C6F" w14:paraId="0E6F3383" w14:textId="77777777" w:rsidTr="00D24121">
        <w:tc>
          <w:tcPr>
            <w:tcW w:w="625" w:type="dxa"/>
          </w:tcPr>
          <w:p w14:paraId="7BBA1757" w14:textId="5B17E235" w:rsidR="00355C6F" w:rsidRPr="00153681" w:rsidRDefault="00355C6F" w:rsidP="00153681">
            <w:pPr>
              <w:spacing w:line="276" w:lineRule="auto"/>
              <w:jc w:val="both"/>
              <w:rPr>
                <w:bCs/>
                <w:sz w:val="20"/>
                <w:szCs w:val="20"/>
              </w:rPr>
            </w:pPr>
            <w:r w:rsidRPr="00153681">
              <w:rPr>
                <w:bCs/>
                <w:sz w:val="20"/>
                <w:szCs w:val="20"/>
              </w:rPr>
              <w:t>6</w:t>
            </w:r>
          </w:p>
        </w:tc>
        <w:tc>
          <w:tcPr>
            <w:tcW w:w="2790" w:type="dxa"/>
          </w:tcPr>
          <w:p w14:paraId="2D1E640F" w14:textId="4AFF960C" w:rsidR="00355C6F" w:rsidRPr="00153681" w:rsidRDefault="00355C6F" w:rsidP="00153681">
            <w:pPr>
              <w:spacing w:line="276" w:lineRule="auto"/>
              <w:jc w:val="both"/>
              <w:rPr>
                <w:bCs/>
                <w:sz w:val="20"/>
                <w:szCs w:val="20"/>
              </w:rPr>
            </w:pPr>
            <w:r w:rsidRPr="00153681">
              <w:rPr>
                <w:bCs/>
                <w:sz w:val="20"/>
                <w:szCs w:val="20"/>
              </w:rPr>
              <w:t>Therapeutic goods sale point</w:t>
            </w:r>
          </w:p>
        </w:tc>
        <w:tc>
          <w:tcPr>
            <w:tcW w:w="3510" w:type="dxa"/>
          </w:tcPr>
          <w:p w14:paraId="01F16C3E" w14:textId="42261BCE" w:rsidR="00355C6F" w:rsidRPr="00153681" w:rsidRDefault="00355C6F" w:rsidP="00153681">
            <w:pPr>
              <w:spacing w:line="276" w:lineRule="auto"/>
              <w:jc w:val="both"/>
              <w:rPr>
                <w:bCs/>
                <w:sz w:val="20"/>
                <w:szCs w:val="20"/>
              </w:rPr>
            </w:pPr>
            <w:r w:rsidRPr="00153681">
              <w:rPr>
                <w:bCs/>
                <w:sz w:val="20"/>
                <w:szCs w:val="20"/>
              </w:rPr>
              <w:t>Hard format reporting or other channels established by PPC.</w:t>
            </w:r>
          </w:p>
        </w:tc>
        <w:tc>
          <w:tcPr>
            <w:tcW w:w="2425" w:type="dxa"/>
          </w:tcPr>
          <w:p w14:paraId="25D2435E" w14:textId="580791D4" w:rsidR="00355C6F" w:rsidRPr="00153681" w:rsidRDefault="00355C6F" w:rsidP="00153681">
            <w:pPr>
              <w:spacing w:line="276" w:lineRule="auto"/>
              <w:jc w:val="both"/>
              <w:rPr>
                <w:bCs/>
                <w:sz w:val="20"/>
                <w:szCs w:val="20"/>
              </w:rPr>
            </w:pPr>
            <w:r w:rsidRPr="00153681">
              <w:rPr>
                <w:bCs/>
                <w:sz w:val="20"/>
                <w:szCs w:val="20"/>
              </w:rPr>
              <w:t xml:space="preserve">Provincial </w:t>
            </w:r>
            <w:proofErr w:type="spellStart"/>
            <w:r w:rsidRPr="00153681">
              <w:rPr>
                <w:bCs/>
                <w:sz w:val="20"/>
                <w:szCs w:val="20"/>
              </w:rPr>
              <w:t>Pharmacovigilanc</w:t>
            </w:r>
            <w:proofErr w:type="spellEnd"/>
            <w:r w:rsidRPr="00153681">
              <w:rPr>
                <w:bCs/>
                <w:sz w:val="20"/>
                <w:szCs w:val="20"/>
              </w:rPr>
              <w:t xml:space="preserve"> Centre</w:t>
            </w:r>
          </w:p>
        </w:tc>
      </w:tr>
      <w:tr w:rsidR="00CC467A" w14:paraId="3320665B" w14:textId="77777777" w:rsidTr="00D24121">
        <w:tc>
          <w:tcPr>
            <w:tcW w:w="625" w:type="dxa"/>
          </w:tcPr>
          <w:p w14:paraId="2D664BA4" w14:textId="7D037889" w:rsidR="00CC467A" w:rsidRPr="00153681" w:rsidRDefault="00CC467A" w:rsidP="00153681">
            <w:pPr>
              <w:spacing w:line="276" w:lineRule="auto"/>
              <w:jc w:val="both"/>
              <w:rPr>
                <w:bCs/>
                <w:sz w:val="20"/>
                <w:szCs w:val="20"/>
              </w:rPr>
            </w:pPr>
            <w:r w:rsidRPr="00153681">
              <w:rPr>
                <w:bCs/>
                <w:sz w:val="20"/>
                <w:szCs w:val="20"/>
              </w:rPr>
              <w:t>7</w:t>
            </w:r>
          </w:p>
        </w:tc>
        <w:tc>
          <w:tcPr>
            <w:tcW w:w="2790" w:type="dxa"/>
          </w:tcPr>
          <w:p w14:paraId="4870AE24" w14:textId="5759FB85" w:rsidR="00CC467A" w:rsidRPr="00153681" w:rsidRDefault="00CC467A" w:rsidP="00153681">
            <w:pPr>
              <w:spacing w:line="276" w:lineRule="auto"/>
              <w:jc w:val="both"/>
              <w:rPr>
                <w:bCs/>
                <w:sz w:val="20"/>
                <w:szCs w:val="20"/>
              </w:rPr>
            </w:pPr>
            <w:r w:rsidRPr="00153681">
              <w:rPr>
                <w:bCs/>
                <w:sz w:val="20"/>
                <w:szCs w:val="20"/>
              </w:rPr>
              <w:t>Healthcare Professionals</w:t>
            </w:r>
          </w:p>
        </w:tc>
        <w:tc>
          <w:tcPr>
            <w:tcW w:w="3510" w:type="dxa"/>
          </w:tcPr>
          <w:p w14:paraId="7FF9A060" w14:textId="668166D2" w:rsidR="00CC467A" w:rsidRPr="00153681" w:rsidRDefault="00CC467A" w:rsidP="00153681">
            <w:pPr>
              <w:spacing w:line="276" w:lineRule="auto"/>
              <w:jc w:val="both"/>
              <w:rPr>
                <w:bCs/>
                <w:sz w:val="20"/>
                <w:szCs w:val="20"/>
              </w:rPr>
            </w:pPr>
            <w:r w:rsidRPr="00153681">
              <w:rPr>
                <w:bCs/>
                <w:sz w:val="20"/>
                <w:szCs w:val="20"/>
              </w:rPr>
              <w:t>Med Vigilance E-Reporting System</w:t>
            </w:r>
          </w:p>
          <w:p w14:paraId="07819BFC" w14:textId="67D9715A" w:rsidR="00CC467A" w:rsidRPr="00153681" w:rsidRDefault="00CC467A" w:rsidP="00153681">
            <w:pPr>
              <w:spacing w:line="276" w:lineRule="auto"/>
              <w:jc w:val="both"/>
              <w:rPr>
                <w:bCs/>
                <w:sz w:val="20"/>
                <w:szCs w:val="20"/>
              </w:rPr>
            </w:pPr>
            <w:r w:rsidRPr="00153681">
              <w:rPr>
                <w:bCs/>
                <w:sz w:val="20"/>
                <w:szCs w:val="20"/>
              </w:rPr>
              <w:t>Med Safety App</w:t>
            </w:r>
          </w:p>
          <w:p w14:paraId="1BDE6AF4" w14:textId="39B50538" w:rsidR="00CC467A" w:rsidRPr="00153681" w:rsidRDefault="00CC467A" w:rsidP="00153681">
            <w:pPr>
              <w:spacing w:line="276" w:lineRule="auto"/>
              <w:jc w:val="both"/>
              <w:rPr>
                <w:bCs/>
                <w:sz w:val="20"/>
                <w:szCs w:val="20"/>
              </w:rPr>
            </w:pPr>
            <w:r w:rsidRPr="00153681">
              <w:rPr>
                <w:bCs/>
                <w:sz w:val="20"/>
                <w:szCs w:val="20"/>
              </w:rPr>
              <w:t>Yellow Form</w:t>
            </w:r>
          </w:p>
          <w:p w14:paraId="7095F7E1" w14:textId="4109787B" w:rsidR="00CC467A" w:rsidRPr="00153681" w:rsidRDefault="00CC467A" w:rsidP="00153681">
            <w:pPr>
              <w:spacing w:line="276" w:lineRule="auto"/>
              <w:jc w:val="both"/>
              <w:rPr>
                <w:bCs/>
                <w:sz w:val="20"/>
                <w:szCs w:val="20"/>
              </w:rPr>
            </w:pPr>
            <w:r w:rsidRPr="00153681">
              <w:rPr>
                <w:bCs/>
                <w:sz w:val="20"/>
                <w:szCs w:val="20"/>
              </w:rPr>
              <w:t>Telephone or Email</w:t>
            </w:r>
          </w:p>
          <w:p w14:paraId="57BE0545" w14:textId="2FDCFD30" w:rsidR="00CC467A" w:rsidRPr="00153681" w:rsidRDefault="00CC467A" w:rsidP="00153681">
            <w:pPr>
              <w:spacing w:line="276" w:lineRule="auto"/>
              <w:jc w:val="both"/>
              <w:rPr>
                <w:bCs/>
                <w:sz w:val="20"/>
                <w:szCs w:val="20"/>
              </w:rPr>
            </w:pPr>
          </w:p>
          <w:p w14:paraId="25D57392" w14:textId="4B058607" w:rsidR="00CC467A" w:rsidRPr="00153681" w:rsidRDefault="00CC467A" w:rsidP="00153681">
            <w:pPr>
              <w:spacing w:line="276" w:lineRule="auto"/>
              <w:jc w:val="both"/>
              <w:rPr>
                <w:bCs/>
                <w:sz w:val="20"/>
                <w:szCs w:val="20"/>
              </w:rPr>
            </w:pPr>
            <w:r w:rsidRPr="00153681">
              <w:rPr>
                <w:bCs/>
                <w:sz w:val="20"/>
                <w:szCs w:val="20"/>
              </w:rPr>
              <w:t xml:space="preserve">Means of reporting of </w:t>
            </w:r>
          </w:p>
        </w:tc>
        <w:tc>
          <w:tcPr>
            <w:tcW w:w="2425" w:type="dxa"/>
          </w:tcPr>
          <w:p w14:paraId="221BC892" w14:textId="77777777" w:rsidR="00CC467A" w:rsidRPr="00153681" w:rsidRDefault="00CC467A" w:rsidP="00153681">
            <w:pPr>
              <w:spacing w:line="276" w:lineRule="auto"/>
              <w:jc w:val="both"/>
              <w:rPr>
                <w:bCs/>
                <w:sz w:val="20"/>
                <w:szCs w:val="20"/>
              </w:rPr>
            </w:pPr>
            <w:r w:rsidRPr="00153681">
              <w:rPr>
                <w:bCs/>
                <w:sz w:val="20"/>
                <w:szCs w:val="20"/>
              </w:rPr>
              <w:t>NPC, DRAP</w:t>
            </w:r>
          </w:p>
          <w:p w14:paraId="207B87F0" w14:textId="77777777" w:rsidR="00CC467A" w:rsidRPr="00153681" w:rsidRDefault="00CC467A" w:rsidP="00153681">
            <w:pPr>
              <w:spacing w:line="276" w:lineRule="auto"/>
              <w:jc w:val="both"/>
              <w:rPr>
                <w:bCs/>
                <w:sz w:val="20"/>
                <w:szCs w:val="20"/>
              </w:rPr>
            </w:pPr>
          </w:p>
          <w:p w14:paraId="2604FAE6" w14:textId="77777777" w:rsidR="00CC467A" w:rsidRPr="00153681" w:rsidRDefault="00CC467A" w:rsidP="00153681">
            <w:pPr>
              <w:spacing w:line="276" w:lineRule="auto"/>
              <w:jc w:val="both"/>
              <w:rPr>
                <w:bCs/>
                <w:sz w:val="20"/>
                <w:szCs w:val="20"/>
              </w:rPr>
            </w:pPr>
          </w:p>
          <w:p w14:paraId="0ABEB9BF" w14:textId="77777777" w:rsidR="00CC467A" w:rsidRPr="00153681" w:rsidRDefault="00CC467A" w:rsidP="00153681">
            <w:pPr>
              <w:spacing w:line="276" w:lineRule="auto"/>
              <w:jc w:val="both"/>
              <w:rPr>
                <w:bCs/>
                <w:sz w:val="20"/>
                <w:szCs w:val="20"/>
              </w:rPr>
            </w:pPr>
          </w:p>
          <w:p w14:paraId="6E09148D" w14:textId="77777777" w:rsidR="00CC467A" w:rsidRPr="00153681" w:rsidRDefault="00CC467A" w:rsidP="00153681">
            <w:pPr>
              <w:spacing w:line="276" w:lineRule="auto"/>
              <w:jc w:val="both"/>
              <w:rPr>
                <w:bCs/>
                <w:sz w:val="20"/>
                <w:szCs w:val="20"/>
              </w:rPr>
            </w:pPr>
          </w:p>
          <w:p w14:paraId="06924BB8" w14:textId="5254E817" w:rsidR="00CC467A" w:rsidRPr="00153681" w:rsidRDefault="00CC467A" w:rsidP="00153681">
            <w:pPr>
              <w:spacing w:line="276" w:lineRule="auto"/>
              <w:jc w:val="both"/>
              <w:rPr>
                <w:bCs/>
                <w:sz w:val="20"/>
                <w:szCs w:val="20"/>
              </w:rPr>
            </w:pPr>
            <w:r w:rsidRPr="00153681">
              <w:rPr>
                <w:bCs/>
                <w:sz w:val="20"/>
                <w:szCs w:val="20"/>
              </w:rPr>
              <w:t>Provincial Centre</w:t>
            </w:r>
            <w:r w:rsidR="002773E0" w:rsidRPr="00153681">
              <w:rPr>
                <w:bCs/>
                <w:sz w:val="20"/>
                <w:szCs w:val="20"/>
              </w:rPr>
              <w:t xml:space="preserve"> or</w:t>
            </w:r>
          </w:p>
          <w:p w14:paraId="08BF6F60" w14:textId="38333DBD" w:rsidR="00CC467A" w:rsidRPr="00153681" w:rsidRDefault="00CC467A" w:rsidP="00153681">
            <w:pPr>
              <w:spacing w:line="276" w:lineRule="auto"/>
              <w:jc w:val="both"/>
              <w:rPr>
                <w:bCs/>
                <w:sz w:val="20"/>
                <w:szCs w:val="20"/>
              </w:rPr>
            </w:pPr>
            <w:r w:rsidRPr="00153681">
              <w:rPr>
                <w:bCs/>
                <w:sz w:val="20"/>
                <w:szCs w:val="20"/>
              </w:rPr>
              <w:t>Registration Holders</w:t>
            </w:r>
          </w:p>
        </w:tc>
      </w:tr>
      <w:tr w:rsidR="00D24121" w14:paraId="1E571CAE" w14:textId="77777777" w:rsidTr="00D24121">
        <w:tc>
          <w:tcPr>
            <w:tcW w:w="625" w:type="dxa"/>
          </w:tcPr>
          <w:p w14:paraId="721AAF8A" w14:textId="69B4B006" w:rsidR="00D24121" w:rsidRPr="00153681" w:rsidRDefault="00D24121" w:rsidP="00153681">
            <w:pPr>
              <w:spacing w:line="276" w:lineRule="auto"/>
              <w:jc w:val="both"/>
              <w:rPr>
                <w:bCs/>
                <w:sz w:val="20"/>
                <w:szCs w:val="20"/>
              </w:rPr>
            </w:pPr>
            <w:r w:rsidRPr="00153681">
              <w:rPr>
                <w:bCs/>
                <w:sz w:val="20"/>
                <w:szCs w:val="20"/>
              </w:rPr>
              <w:t>8</w:t>
            </w:r>
          </w:p>
        </w:tc>
        <w:tc>
          <w:tcPr>
            <w:tcW w:w="2790" w:type="dxa"/>
          </w:tcPr>
          <w:p w14:paraId="04CD48C2" w14:textId="52F32121" w:rsidR="00D24121" w:rsidRPr="00153681" w:rsidRDefault="00D24121" w:rsidP="00153681">
            <w:pPr>
              <w:spacing w:line="276" w:lineRule="auto"/>
              <w:jc w:val="both"/>
              <w:rPr>
                <w:bCs/>
                <w:sz w:val="20"/>
                <w:szCs w:val="20"/>
              </w:rPr>
            </w:pPr>
            <w:r w:rsidRPr="00153681">
              <w:rPr>
                <w:bCs/>
                <w:sz w:val="20"/>
                <w:szCs w:val="20"/>
              </w:rPr>
              <w:t xml:space="preserve">Patients </w:t>
            </w:r>
          </w:p>
        </w:tc>
        <w:tc>
          <w:tcPr>
            <w:tcW w:w="3510" w:type="dxa"/>
          </w:tcPr>
          <w:p w14:paraId="09195D54" w14:textId="77777777" w:rsidR="00D24121" w:rsidRPr="00153681" w:rsidRDefault="00D24121" w:rsidP="00153681">
            <w:pPr>
              <w:spacing w:line="276" w:lineRule="auto"/>
              <w:jc w:val="both"/>
              <w:rPr>
                <w:bCs/>
                <w:sz w:val="20"/>
                <w:szCs w:val="20"/>
              </w:rPr>
            </w:pPr>
            <w:r w:rsidRPr="00153681">
              <w:rPr>
                <w:bCs/>
                <w:sz w:val="20"/>
                <w:szCs w:val="20"/>
              </w:rPr>
              <w:t>Med Vigilance E-Reporting System</w:t>
            </w:r>
          </w:p>
          <w:p w14:paraId="2D1E1996" w14:textId="77777777" w:rsidR="00D24121" w:rsidRPr="00153681" w:rsidRDefault="00D24121" w:rsidP="00153681">
            <w:pPr>
              <w:spacing w:line="276" w:lineRule="auto"/>
              <w:jc w:val="both"/>
              <w:rPr>
                <w:bCs/>
                <w:sz w:val="20"/>
                <w:szCs w:val="20"/>
              </w:rPr>
            </w:pPr>
            <w:r w:rsidRPr="00153681">
              <w:rPr>
                <w:bCs/>
                <w:sz w:val="20"/>
                <w:szCs w:val="20"/>
              </w:rPr>
              <w:t>Med Safety App</w:t>
            </w:r>
          </w:p>
          <w:p w14:paraId="76C86090" w14:textId="77777777" w:rsidR="00D24121" w:rsidRPr="00153681" w:rsidRDefault="00D24121" w:rsidP="00153681">
            <w:pPr>
              <w:spacing w:line="276" w:lineRule="auto"/>
              <w:jc w:val="both"/>
              <w:rPr>
                <w:bCs/>
                <w:sz w:val="20"/>
                <w:szCs w:val="20"/>
              </w:rPr>
            </w:pPr>
            <w:r w:rsidRPr="00153681">
              <w:rPr>
                <w:bCs/>
                <w:sz w:val="20"/>
                <w:szCs w:val="20"/>
              </w:rPr>
              <w:t>Yellow Form</w:t>
            </w:r>
          </w:p>
          <w:p w14:paraId="002D62B0" w14:textId="77777777" w:rsidR="00D24121" w:rsidRPr="00153681" w:rsidRDefault="00D24121" w:rsidP="00153681">
            <w:pPr>
              <w:spacing w:line="276" w:lineRule="auto"/>
              <w:jc w:val="both"/>
              <w:rPr>
                <w:bCs/>
                <w:sz w:val="20"/>
                <w:szCs w:val="20"/>
              </w:rPr>
            </w:pPr>
            <w:r w:rsidRPr="00153681">
              <w:rPr>
                <w:bCs/>
                <w:sz w:val="20"/>
                <w:szCs w:val="20"/>
              </w:rPr>
              <w:t>Telephone or Email</w:t>
            </w:r>
          </w:p>
          <w:p w14:paraId="0592EA6A" w14:textId="77777777" w:rsidR="00D24121" w:rsidRPr="00153681" w:rsidRDefault="00D24121" w:rsidP="00153681">
            <w:pPr>
              <w:spacing w:line="276" w:lineRule="auto"/>
              <w:jc w:val="both"/>
              <w:rPr>
                <w:bCs/>
                <w:sz w:val="20"/>
                <w:szCs w:val="20"/>
              </w:rPr>
            </w:pPr>
          </w:p>
          <w:p w14:paraId="70378A32" w14:textId="77777777" w:rsidR="00D24121" w:rsidRPr="00153681" w:rsidRDefault="00D24121" w:rsidP="00153681">
            <w:pPr>
              <w:spacing w:line="276" w:lineRule="auto"/>
              <w:jc w:val="both"/>
              <w:rPr>
                <w:bCs/>
                <w:sz w:val="20"/>
                <w:szCs w:val="20"/>
              </w:rPr>
            </w:pPr>
            <w:r w:rsidRPr="00153681">
              <w:rPr>
                <w:bCs/>
                <w:sz w:val="20"/>
                <w:szCs w:val="20"/>
              </w:rPr>
              <w:t xml:space="preserve">Means of reporting of </w:t>
            </w:r>
          </w:p>
          <w:p w14:paraId="526CFC30" w14:textId="77777777" w:rsidR="00D24121" w:rsidRPr="00153681" w:rsidRDefault="00D24121" w:rsidP="00153681">
            <w:pPr>
              <w:spacing w:line="276" w:lineRule="auto"/>
              <w:jc w:val="both"/>
              <w:rPr>
                <w:bCs/>
                <w:sz w:val="20"/>
                <w:szCs w:val="20"/>
              </w:rPr>
            </w:pPr>
          </w:p>
        </w:tc>
        <w:tc>
          <w:tcPr>
            <w:tcW w:w="2425" w:type="dxa"/>
          </w:tcPr>
          <w:p w14:paraId="6C798D17" w14:textId="77777777" w:rsidR="00D24121" w:rsidRPr="00153681" w:rsidRDefault="00D24121" w:rsidP="00153681">
            <w:pPr>
              <w:spacing w:line="276" w:lineRule="auto"/>
              <w:jc w:val="both"/>
              <w:rPr>
                <w:bCs/>
                <w:sz w:val="20"/>
                <w:szCs w:val="20"/>
              </w:rPr>
            </w:pPr>
            <w:r w:rsidRPr="00153681">
              <w:rPr>
                <w:bCs/>
                <w:sz w:val="20"/>
                <w:szCs w:val="20"/>
              </w:rPr>
              <w:t>NPC, DRAP</w:t>
            </w:r>
          </w:p>
          <w:p w14:paraId="0E26A7AA" w14:textId="77777777" w:rsidR="00D24121" w:rsidRPr="00153681" w:rsidRDefault="00D24121" w:rsidP="00153681">
            <w:pPr>
              <w:spacing w:line="276" w:lineRule="auto"/>
              <w:jc w:val="both"/>
              <w:rPr>
                <w:bCs/>
                <w:sz w:val="20"/>
                <w:szCs w:val="20"/>
              </w:rPr>
            </w:pPr>
          </w:p>
          <w:p w14:paraId="7BFAE56B" w14:textId="77777777" w:rsidR="00D24121" w:rsidRPr="00153681" w:rsidRDefault="00D24121" w:rsidP="00153681">
            <w:pPr>
              <w:spacing w:line="276" w:lineRule="auto"/>
              <w:jc w:val="both"/>
              <w:rPr>
                <w:bCs/>
                <w:sz w:val="20"/>
                <w:szCs w:val="20"/>
              </w:rPr>
            </w:pPr>
          </w:p>
          <w:p w14:paraId="30996CE4" w14:textId="77777777" w:rsidR="00D24121" w:rsidRPr="00153681" w:rsidRDefault="00D24121" w:rsidP="00153681">
            <w:pPr>
              <w:spacing w:line="276" w:lineRule="auto"/>
              <w:jc w:val="both"/>
              <w:rPr>
                <w:bCs/>
                <w:sz w:val="20"/>
                <w:szCs w:val="20"/>
              </w:rPr>
            </w:pPr>
          </w:p>
          <w:p w14:paraId="08F33834" w14:textId="77777777" w:rsidR="00D24121" w:rsidRPr="00153681" w:rsidRDefault="00D24121" w:rsidP="00153681">
            <w:pPr>
              <w:spacing w:line="276" w:lineRule="auto"/>
              <w:jc w:val="both"/>
              <w:rPr>
                <w:bCs/>
                <w:sz w:val="20"/>
                <w:szCs w:val="20"/>
              </w:rPr>
            </w:pPr>
          </w:p>
          <w:p w14:paraId="75BFE067" w14:textId="34B054A4" w:rsidR="00D24121" w:rsidRPr="00153681" w:rsidRDefault="00D24121" w:rsidP="00153681">
            <w:pPr>
              <w:spacing w:line="276" w:lineRule="auto"/>
              <w:jc w:val="both"/>
              <w:rPr>
                <w:bCs/>
                <w:sz w:val="20"/>
                <w:szCs w:val="20"/>
              </w:rPr>
            </w:pPr>
            <w:r w:rsidRPr="00153681">
              <w:rPr>
                <w:bCs/>
                <w:sz w:val="20"/>
                <w:szCs w:val="20"/>
              </w:rPr>
              <w:t>Provincial Centre</w:t>
            </w:r>
            <w:r w:rsidR="002773E0" w:rsidRPr="00153681">
              <w:rPr>
                <w:bCs/>
                <w:sz w:val="20"/>
                <w:szCs w:val="20"/>
              </w:rPr>
              <w:t xml:space="preserve"> or</w:t>
            </w:r>
          </w:p>
          <w:p w14:paraId="3A13A2BE" w14:textId="5D10D47D" w:rsidR="00D24121" w:rsidRPr="00153681" w:rsidRDefault="00D24121" w:rsidP="00153681">
            <w:pPr>
              <w:spacing w:line="276" w:lineRule="auto"/>
              <w:jc w:val="both"/>
              <w:rPr>
                <w:bCs/>
                <w:sz w:val="20"/>
                <w:szCs w:val="20"/>
              </w:rPr>
            </w:pPr>
            <w:r w:rsidRPr="00153681">
              <w:rPr>
                <w:bCs/>
                <w:sz w:val="20"/>
                <w:szCs w:val="20"/>
              </w:rPr>
              <w:t>Registration Holders</w:t>
            </w:r>
          </w:p>
        </w:tc>
      </w:tr>
    </w:tbl>
    <w:p w14:paraId="529F09B6" w14:textId="0BCAAFF4" w:rsidR="002F4630" w:rsidRDefault="002F4630" w:rsidP="002F4630">
      <w:pPr>
        <w:rPr>
          <w:rStyle w:val="Heading1Char"/>
          <w:b/>
        </w:rPr>
      </w:pPr>
    </w:p>
    <w:p w14:paraId="419674E2" w14:textId="6996CDAC" w:rsidR="002F4630" w:rsidRPr="002F4630" w:rsidRDefault="002F4630" w:rsidP="002F4630">
      <w:pPr>
        <w:spacing w:before="120" w:after="120" w:line="360" w:lineRule="auto"/>
        <w:ind w:left="540" w:hanging="540"/>
        <w:jc w:val="both"/>
        <w:rPr>
          <w:b/>
          <w:sz w:val="28"/>
          <w:szCs w:val="28"/>
        </w:rPr>
      </w:pPr>
      <w:r w:rsidRPr="002F4630">
        <w:rPr>
          <w:b/>
          <w:sz w:val="28"/>
          <w:szCs w:val="28"/>
        </w:rPr>
        <w:t xml:space="preserve">4.6 </w:t>
      </w:r>
      <w:r w:rsidRPr="002F4630">
        <w:rPr>
          <w:b/>
          <w:sz w:val="28"/>
          <w:szCs w:val="28"/>
          <w:u w:val="single"/>
        </w:rPr>
        <w:t>When to report?</w:t>
      </w:r>
      <w:r w:rsidRPr="002F4630">
        <w:rPr>
          <w:b/>
          <w:sz w:val="28"/>
          <w:szCs w:val="28"/>
        </w:rPr>
        <w:t xml:space="preserve"> </w:t>
      </w:r>
    </w:p>
    <w:p w14:paraId="1CAACC89" w14:textId="191ED357" w:rsidR="005A5E8E" w:rsidRDefault="000E67C0" w:rsidP="004E1B59">
      <w:pPr>
        <w:spacing w:before="120" w:after="120" w:line="360" w:lineRule="auto"/>
        <w:ind w:left="540"/>
        <w:jc w:val="both"/>
        <w:rPr>
          <w:bCs/>
          <w:sz w:val="24"/>
          <w:szCs w:val="24"/>
        </w:rPr>
      </w:pPr>
      <w:r w:rsidRPr="00CF17B0">
        <w:rPr>
          <w:bCs/>
          <w:sz w:val="24"/>
          <w:szCs w:val="24"/>
        </w:rPr>
        <w:t>The p</w:t>
      </w:r>
      <w:r w:rsidR="005A5E8E" w:rsidRPr="00CF17B0">
        <w:rPr>
          <w:bCs/>
          <w:sz w:val="24"/>
          <w:szCs w:val="24"/>
        </w:rPr>
        <w:t>atient</w:t>
      </w:r>
      <w:r w:rsidR="002546FB">
        <w:rPr>
          <w:bCs/>
          <w:sz w:val="24"/>
          <w:szCs w:val="24"/>
        </w:rPr>
        <w:t xml:space="preserve"> as the case may be healthcare professionals</w:t>
      </w:r>
      <w:r w:rsidR="005A5E8E" w:rsidRPr="00CF17B0">
        <w:rPr>
          <w:bCs/>
          <w:sz w:val="24"/>
          <w:szCs w:val="24"/>
        </w:rPr>
        <w:t xml:space="preserve"> should report </w:t>
      </w:r>
      <w:r w:rsidRPr="00CF17B0">
        <w:rPr>
          <w:bCs/>
          <w:sz w:val="24"/>
          <w:szCs w:val="24"/>
        </w:rPr>
        <w:t xml:space="preserve">a </w:t>
      </w:r>
      <w:r w:rsidR="005A5E8E" w:rsidRPr="00CF17B0">
        <w:rPr>
          <w:bCs/>
          <w:sz w:val="24"/>
          <w:szCs w:val="24"/>
        </w:rPr>
        <w:t xml:space="preserve">serious </w:t>
      </w:r>
      <w:r w:rsidR="003D0893">
        <w:rPr>
          <w:bCs/>
          <w:sz w:val="24"/>
          <w:szCs w:val="24"/>
        </w:rPr>
        <w:t>AEs or AEFI</w:t>
      </w:r>
      <w:r w:rsidR="005A5E8E" w:rsidRPr="00CF17B0">
        <w:rPr>
          <w:bCs/>
          <w:sz w:val="24"/>
          <w:szCs w:val="24"/>
        </w:rPr>
        <w:t xml:space="preserve"> as soon as possible to </w:t>
      </w:r>
      <w:r w:rsidR="0082338E" w:rsidRPr="00CF17B0">
        <w:rPr>
          <w:bCs/>
          <w:sz w:val="24"/>
          <w:szCs w:val="24"/>
        </w:rPr>
        <w:t xml:space="preserve">the </w:t>
      </w:r>
      <w:r w:rsidR="002546FB">
        <w:rPr>
          <w:bCs/>
          <w:sz w:val="24"/>
          <w:szCs w:val="24"/>
        </w:rPr>
        <w:t>NPC, PPC or registration holders</w:t>
      </w:r>
      <w:r w:rsidR="005A5E8E" w:rsidRPr="00CF17B0">
        <w:rPr>
          <w:bCs/>
          <w:sz w:val="24"/>
          <w:szCs w:val="24"/>
        </w:rPr>
        <w:t xml:space="preserve">. Sometimes, the </w:t>
      </w:r>
      <w:r w:rsidR="003D0893">
        <w:rPr>
          <w:bCs/>
          <w:sz w:val="24"/>
          <w:szCs w:val="24"/>
        </w:rPr>
        <w:t>AE</w:t>
      </w:r>
      <w:r w:rsidR="005A5E8E" w:rsidRPr="00CF17B0">
        <w:rPr>
          <w:bCs/>
          <w:sz w:val="24"/>
          <w:szCs w:val="24"/>
        </w:rPr>
        <w:t xml:space="preserve"> might be unexpected and might be posing harm to other patient</w:t>
      </w:r>
      <w:r w:rsidR="00250531" w:rsidRPr="00CF17B0">
        <w:rPr>
          <w:bCs/>
          <w:sz w:val="24"/>
          <w:szCs w:val="24"/>
        </w:rPr>
        <w:t>s</w:t>
      </w:r>
      <w:r w:rsidR="005A5E8E" w:rsidRPr="00CF17B0">
        <w:rPr>
          <w:bCs/>
          <w:sz w:val="24"/>
          <w:szCs w:val="24"/>
        </w:rPr>
        <w:t>.</w:t>
      </w:r>
      <w:r w:rsidR="00250531" w:rsidRPr="00CF17B0">
        <w:rPr>
          <w:bCs/>
          <w:sz w:val="24"/>
          <w:szCs w:val="24"/>
        </w:rPr>
        <w:t xml:space="preserve"> Therefore, </w:t>
      </w:r>
      <w:r w:rsidR="005A5E8E" w:rsidRPr="00CF17B0">
        <w:rPr>
          <w:bCs/>
          <w:sz w:val="24"/>
          <w:szCs w:val="24"/>
        </w:rPr>
        <w:t xml:space="preserve">earlier will be helpful to minimize harm to other patients. Further, </w:t>
      </w:r>
      <w:r w:rsidRPr="00CF17B0">
        <w:rPr>
          <w:bCs/>
          <w:sz w:val="24"/>
          <w:szCs w:val="24"/>
        </w:rPr>
        <w:t xml:space="preserve">the </w:t>
      </w:r>
      <w:r w:rsidR="005A5E8E" w:rsidRPr="00CF17B0">
        <w:rPr>
          <w:bCs/>
          <w:sz w:val="24"/>
          <w:szCs w:val="24"/>
        </w:rPr>
        <w:t>non-serious</w:t>
      </w:r>
      <w:r w:rsidR="004E6C15" w:rsidRPr="00CF17B0">
        <w:rPr>
          <w:bCs/>
          <w:sz w:val="24"/>
          <w:szCs w:val="24"/>
        </w:rPr>
        <w:t>/mild</w:t>
      </w:r>
      <w:r w:rsidR="005A5E8E" w:rsidRPr="00CF17B0">
        <w:rPr>
          <w:bCs/>
          <w:sz w:val="24"/>
          <w:szCs w:val="24"/>
        </w:rPr>
        <w:t xml:space="preserve"> </w:t>
      </w:r>
      <w:r w:rsidR="003D0893">
        <w:rPr>
          <w:bCs/>
          <w:sz w:val="24"/>
          <w:szCs w:val="24"/>
        </w:rPr>
        <w:t>AEs</w:t>
      </w:r>
      <w:r w:rsidR="005A5E8E" w:rsidRPr="00CF17B0">
        <w:rPr>
          <w:bCs/>
          <w:sz w:val="24"/>
          <w:szCs w:val="24"/>
        </w:rPr>
        <w:t xml:space="preserve"> should also be reported at the earliest</w:t>
      </w:r>
      <w:r w:rsidR="002546FB">
        <w:rPr>
          <w:bCs/>
          <w:sz w:val="24"/>
          <w:szCs w:val="24"/>
        </w:rPr>
        <w:t>.</w:t>
      </w:r>
    </w:p>
    <w:p w14:paraId="4C57E0A6" w14:textId="3F635810" w:rsidR="00F17CF1" w:rsidRDefault="00F17CF1" w:rsidP="004E1B59">
      <w:pPr>
        <w:spacing w:before="120" w:after="120" w:line="360" w:lineRule="auto"/>
        <w:ind w:left="540"/>
        <w:jc w:val="both"/>
        <w:rPr>
          <w:bCs/>
          <w:sz w:val="24"/>
          <w:szCs w:val="24"/>
        </w:rPr>
      </w:pPr>
      <w:r>
        <w:rPr>
          <w:bCs/>
          <w:sz w:val="24"/>
          <w:szCs w:val="24"/>
        </w:rPr>
        <w:t xml:space="preserve">There </w:t>
      </w:r>
      <w:r w:rsidR="004E1B59">
        <w:rPr>
          <w:bCs/>
          <w:sz w:val="24"/>
          <w:szCs w:val="24"/>
        </w:rPr>
        <w:t xml:space="preserve">are </w:t>
      </w:r>
      <w:r>
        <w:rPr>
          <w:bCs/>
          <w:sz w:val="24"/>
          <w:szCs w:val="24"/>
        </w:rPr>
        <w:t xml:space="preserve">defined timelines of reporting </w:t>
      </w:r>
      <w:r w:rsidR="004E1B59">
        <w:rPr>
          <w:bCs/>
          <w:sz w:val="24"/>
          <w:szCs w:val="24"/>
        </w:rPr>
        <w:t xml:space="preserve">in </w:t>
      </w:r>
      <w:hyperlink r:id="rId50" w:history="1">
        <w:r w:rsidR="004E1B59" w:rsidRPr="00815E50">
          <w:rPr>
            <w:rStyle w:val="Hyperlink"/>
            <w:bCs/>
            <w:sz w:val="24"/>
            <w:szCs w:val="24"/>
          </w:rPr>
          <w:t>Pharmacovigilance Rules, 2022</w:t>
        </w:r>
      </w:hyperlink>
      <w:r w:rsidR="004E1B59">
        <w:rPr>
          <w:bCs/>
          <w:sz w:val="24"/>
          <w:szCs w:val="24"/>
        </w:rPr>
        <w:t xml:space="preserve"> </w:t>
      </w:r>
      <w:r>
        <w:rPr>
          <w:bCs/>
          <w:sz w:val="24"/>
          <w:szCs w:val="24"/>
        </w:rPr>
        <w:t>for other stakeholders such as provincial pharmacovigilance centre</w:t>
      </w:r>
      <w:r w:rsidR="004E1B59">
        <w:rPr>
          <w:bCs/>
          <w:sz w:val="24"/>
          <w:szCs w:val="24"/>
        </w:rPr>
        <w:t>s</w:t>
      </w:r>
      <w:r>
        <w:rPr>
          <w:bCs/>
          <w:sz w:val="24"/>
          <w:szCs w:val="24"/>
        </w:rPr>
        <w:t xml:space="preserve">, public health programmes, hospitals and registration holders as that is summarized </w:t>
      </w:r>
      <w:r w:rsidR="004E1B59">
        <w:rPr>
          <w:bCs/>
          <w:sz w:val="24"/>
          <w:szCs w:val="24"/>
        </w:rPr>
        <w:t>under</w:t>
      </w:r>
      <w:r>
        <w:rPr>
          <w:bCs/>
          <w:sz w:val="24"/>
          <w:szCs w:val="24"/>
        </w:rPr>
        <w:t>.</w:t>
      </w:r>
    </w:p>
    <w:tbl>
      <w:tblPr>
        <w:tblStyle w:val="TableGrid"/>
        <w:tblW w:w="0" w:type="auto"/>
        <w:tblInd w:w="445" w:type="dxa"/>
        <w:tblLook w:val="04A0" w:firstRow="1" w:lastRow="0" w:firstColumn="1" w:lastColumn="0" w:noHBand="0" w:noVBand="1"/>
      </w:tblPr>
      <w:tblGrid>
        <w:gridCol w:w="720"/>
        <w:gridCol w:w="2430"/>
        <w:gridCol w:w="1440"/>
        <w:gridCol w:w="1710"/>
        <w:gridCol w:w="2605"/>
      </w:tblGrid>
      <w:tr w:rsidR="008835B9" w14:paraId="287B007A" w14:textId="3D5D25BB" w:rsidTr="001C5F1D">
        <w:trPr>
          <w:trHeight w:val="397"/>
        </w:trPr>
        <w:tc>
          <w:tcPr>
            <w:tcW w:w="720" w:type="dxa"/>
          </w:tcPr>
          <w:p w14:paraId="613FB566" w14:textId="77777777" w:rsidR="005D1D2B" w:rsidRPr="00D24121" w:rsidRDefault="005D1D2B" w:rsidP="00E56547">
            <w:pPr>
              <w:spacing w:line="276" w:lineRule="auto"/>
              <w:ind w:left="-30" w:hanging="30"/>
              <w:jc w:val="both"/>
              <w:rPr>
                <w:b/>
                <w:sz w:val="20"/>
                <w:szCs w:val="20"/>
              </w:rPr>
            </w:pPr>
            <w:r w:rsidRPr="00D24121">
              <w:rPr>
                <w:b/>
                <w:sz w:val="20"/>
                <w:szCs w:val="20"/>
              </w:rPr>
              <w:lastRenderedPageBreak/>
              <w:t>S. No</w:t>
            </w:r>
          </w:p>
        </w:tc>
        <w:tc>
          <w:tcPr>
            <w:tcW w:w="2430" w:type="dxa"/>
          </w:tcPr>
          <w:p w14:paraId="641EFF04" w14:textId="77777777" w:rsidR="005D1D2B" w:rsidRPr="00D24121" w:rsidRDefault="005D1D2B" w:rsidP="00E56547">
            <w:pPr>
              <w:spacing w:line="276" w:lineRule="auto"/>
              <w:jc w:val="both"/>
              <w:rPr>
                <w:b/>
                <w:sz w:val="20"/>
                <w:szCs w:val="20"/>
              </w:rPr>
            </w:pPr>
            <w:r w:rsidRPr="00D24121">
              <w:rPr>
                <w:b/>
                <w:sz w:val="20"/>
                <w:szCs w:val="20"/>
              </w:rPr>
              <w:t>Name of Stakeholder</w:t>
            </w:r>
          </w:p>
        </w:tc>
        <w:tc>
          <w:tcPr>
            <w:tcW w:w="1440" w:type="dxa"/>
          </w:tcPr>
          <w:p w14:paraId="142A2B0D" w14:textId="4E9E80C7" w:rsidR="005D1D2B" w:rsidRPr="00D24121" w:rsidRDefault="005D1D2B" w:rsidP="00E56547">
            <w:pPr>
              <w:spacing w:line="276" w:lineRule="auto"/>
              <w:jc w:val="both"/>
              <w:rPr>
                <w:b/>
                <w:sz w:val="20"/>
                <w:szCs w:val="20"/>
              </w:rPr>
            </w:pPr>
            <w:r>
              <w:rPr>
                <w:b/>
                <w:sz w:val="20"/>
                <w:szCs w:val="20"/>
              </w:rPr>
              <w:t>Non-Serious</w:t>
            </w:r>
          </w:p>
        </w:tc>
        <w:tc>
          <w:tcPr>
            <w:tcW w:w="1710" w:type="dxa"/>
          </w:tcPr>
          <w:p w14:paraId="30C24919" w14:textId="5952892A" w:rsidR="005D1D2B" w:rsidRPr="00D24121" w:rsidRDefault="005D1D2B" w:rsidP="00E56547">
            <w:pPr>
              <w:spacing w:line="276" w:lineRule="auto"/>
              <w:jc w:val="both"/>
              <w:rPr>
                <w:b/>
                <w:sz w:val="20"/>
                <w:szCs w:val="20"/>
              </w:rPr>
            </w:pPr>
            <w:r>
              <w:rPr>
                <w:b/>
                <w:sz w:val="20"/>
                <w:szCs w:val="20"/>
              </w:rPr>
              <w:t>Serious</w:t>
            </w:r>
          </w:p>
        </w:tc>
        <w:tc>
          <w:tcPr>
            <w:tcW w:w="2605" w:type="dxa"/>
          </w:tcPr>
          <w:p w14:paraId="397D4F93" w14:textId="75D91C94" w:rsidR="005D1D2B" w:rsidRDefault="005D1D2B" w:rsidP="00E56547">
            <w:pPr>
              <w:spacing w:line="276" w:lineRule="auto"/>
              <w:jc w:val="both"/>
              <w:rPr>
                <w:b/>
                <w:sz w:val="20"/>
                <w:szCs w:val="20"/>
              </w:rPr>
            </w:pPr>
            <w:r>
              <w:rPr>
                <w:b/>
                <w:sz w:val="20"/>
                <w:szCs w:val="20"/>
              </w:rPr>
              <w:t>Where</w:t>
            </w:r>
            <w:r w:rsidR="009D72E4">
              <w:rPr>
                <w:b/>
                <w:sz w:val="20"/>
                <w:szCs w:val="20"/>
              </w:rPr>
              <w:t xml:space="preserve"> to Report</w:t>
            </w:r>
          </w:p>
        </w:tc>
      </w:tr>
      <w:tr w:rsidR="008835B9" w14:paraId="5EBB4268" w14:textId="17628FAC" w:rsidTr="001C5F1D">
        <w:trPr>
          <w:trHeight w:val="510"/>
        </w:trPr>
        <w:tc>
          <w:tcPr>
            <w:tcW w:w="720" w:type="dxa"/>
          </w:tcPr>
          <w:p w14:paraId="11CE0B3C" w14:textId="77777777" w:rsidR="005D1D2B" w:rsidRPr="00153681" w:rsidRDefault="005D1D2B" w:rsidP="00E56547">
            <w:pPr>
              <w:spacing w:line="276" w:lineRule="auto"/>
              <w:jc w:val="both"/>
              <w:rPr>
                <w:bCs/>
                <w:sz w:val="20"/>
                <w:szCs w:val="20"/>
              </w:rPr>
            </w:pPr>
            <w:r w:rsidRPr="00153681">
              <w:rPr>
                <w:bCs/>
                <w:sz w:val="20"/>
                <w:szCs w:val="20"/>
              </w:rPr>
              <w:t>1</w:t>
            </w:r>
          </w:p>
        </w:tc>
        <w:tc>
          <w:tcPr>
            <w:tcW w:w="2430" w:type="dxa"/>
          </w:tcPr>
          <w:p w14:paraId="2891B824" w14:textId="77777777" w:rsidR="005D1D2B" w:rsidRPr="00153681" w:rsidRDefault="005D1D2B" w:rsidP="00E56547">
            <w:pPr>
              <w:spacing w:line="276" w:lineRule="auto"/>
              <w:jc w:val="both"/>
              <w:rPr>
                <w:bCs/>
                <w:sz w:val="20"/>
                <w:szCs w:val="20"/>
              </w:rPr>
            </w:pPr>
            <w:r w:rsidRPr="00153681">
              <w:rPr>
                <w:bCs/>
                <w:sz w:val="20"/>
                <w:szCs w:val="20"/>
              </w:rPr>
              <w:t>Provincial Pharmacovigilance Centres</w:t>
            </w:r>
          </w:p>
        </w:tc>
        <w:tc>
          <w:tcPr>
            <w:tcW w:w="1440" w:type="dxa"/>
          </w:tcPr>
          <w:p w14:paraId="79521185" w14:textId="25B598A0" w:rsidR="005D1D2B" w:rsidRPr="00153681" w:rsidRDefault="009D72E4" w:rsidP="009D72E4">
            <w:pPr>
              <w:spacing w:line="276" w:lineRule="auto"/>
              <w:jc w:val="both"/>
              <w:rPr>
                <w:bCs/>
                <w:sz w:val="20"/>
                <w:szCs w:val="20"/>
              </w:rPr>
            </w:pPr>
            <w:r>
              <w:rPr>
                <w:bCs/>
                <w:sz w:val="20"/>
                <w:szCs w:val="20"/>
              </w:rPr>
              <w:t>30 Days</w:t>
            </w:r>
          </w:p>
        </w:tc>
        <w:tc>
          <w:tcPr>
            <w:tcW w:w="1710" w:type="dxa"/>
          </w:tcPr>
          <w:p w14:paraId="5C77105A" w14:textId="10209D9A" w:rsidR="005D1D2B" w:rsidRPr="00153681" w:rsidRDefault="009D72E4" w:rsidP="00E56547">
            <w:pPr>
              <w:spacing w:line="276" w:lineRule="auto"/>
              <w:jc w:val="both"/>
              <w:rPr>
                <w:bCs/>
                <w:sz w:val="20"/>
                <w:szCs w:val="20"/>
              </w:rPr>
            </w:pPr>
            <w:r>
              <w:rPr>
                <w:bCs/>
                <w:sz w:val="20"/>
                <w:szCs w:val="20"/>
              </w:rPr>
              <w:t>15 days</w:t>
            </w:r>
          </w:p>
        </w:tc>
        <w:tc>
          <w:tcPr>
            <w:tcW w:w="2605" w:type="dxa"/>
          </w:tcPr>
          <w:p w14:paraId="3B2E8816" w14:textId="5ED21CB0" w:rsidR="005D1D2B" w:rsidRPr="00153681" w:rsidRDefault="009D72E4" w:rsidP="00E56547">
            <w:pPr>
              <w:spacing w:line="276" w:lineRule="auto"/>
              <w:jc w:val="both"/>
              <w:rPr>
                <w:bCs/>
                <w:sz w:val="20"/>
                <w:szCs w:val="20"/>
              </w:rPr>
            </w:pPr>
            <w:r>
              <w:rPr>
                <w:bCs/>
                <w:sz w:val="20"/>
                <w:szCs w:val="20"/>
              </w:rPr>
              <w:t>NPC, DRAP</w:t>
            </w:r>
          </w:p>
        </w:tc>
      </w:tr>
      <w:tr w:rsidR="008835B9" w14:paraId="2FA27709" w14:textId="03277C3A" w:rsidTr="001C5F1D">
        <w:trPr>
          <w:trHeight w:val="262"/>
        </w:trPr>
        <w:tc>
          <w:tcPr>
            <w:tcW w:w="720" w:type="dxa"/>
          </w:tcPr>
          <w:p w14:paraId="50EF7755" w14:textId="77777777" w:rsidR="005D1D2B" w:rsidRPr="00153681" w:rsidRDefault="005D1D2B" w:rsidP="00E56547">
            <w:pPr>
              <w:spacing w:line="276" w:lineRule="auto"/>
              <w:jc w:val="both"/>
              <w:rPr>
                <w:bCs/>
                <w:sz w:val="20"/>
                <w:szCs w:val="20"/>
              </w:rPr>
            </w:pPr>
            <w:r w:rsidRPr="00153681">
              <w:rPr>
                <w:bCs/>
                <w:sz w:val="20"/>
                <w:szCs w:val="20"/>
              </w:rPr>
              <w:t>2</w:t>
            </w:r>
          </w:p>
        </w:tc>
        <w:tc>
          <w:tcPr>
            <w:tcW w:w="2430" w:type="dxa"/>
          </w:tcPr>
          <w:p w14:paraId="0DC1D2C5" w14:textId="77777777" w:rsidR="005D1D2B" w:rsidRPr="00153681" w:rsidRDefault="005D1D2B" w:rsidP="00E56547">
            <w:pPr>
              <w:spacing w:line="276" w:lineRule="auto"/>
              <w:jc w:val="both"/>
              <w:rPr>
                <w:bCs/>
                <w:sz w:val="20"/>
                <w:szCs w:val="20"/>
              </w:rPr>
            </w:pPr>
            <w:r w:rsidRPr="00153681">
              <w:rPr>
                <w:bCs/>
                <w:sz w:val="20"/>
                <w:szCs w:val="20"/>
              </w:rPr>
              <w:t>Public Health Programmes</w:t>
            </w:r>
          </w:p>
        </w:tc>
        <w:tc>
          <w:tcPr>
            <w:tcW w:w="1440" w:type="dxa"/>
          </w:tcPr>
          <w:p w14:paraId="5FBF8FB4" w14:textId="7E69D12F" w:rsidR="005D1D2B" w:rsidRPr="00153681" w:rsidRDefault="009D72E4" w:rsidP="009D72E4">
            <w:pPr>
              <w:spacing w:line="276" w:lineRule="auto"/>
              <w:jc w:val="both"/>
              <w:rPr>
                <w:bCs/>
                <w:sz w:val="20"/>
                <w:szCs w:val="20"/>
              </w:rPr>
            </w:pPr>
            <w:r>
              <w:rPr>
                <w:bCs/>
                <w:sz w:val="20"/>
                <w:szCs w:val="20"/>
              </w:rPr>
              <w:t>30 Days</w:t>
            </w:r>
          </w:p>
        </w:tc>
        <w:tc>
          <w:tcPr>
            <w:tcW w:w="1710" w:type="dxa"/>
          </w:tcPr>
          <w:p w14:paraId="52F8D8D0" w14:textId="1EAFAEC7" w:rsidR="005D1D2B" w:rsidRPr="00153681" w:rsidRDefault="009D72E4" w:rsidP="00E56547">
            <w:pPr>
              <w:spacing w:line="276" w:lineRule="auto"/>
              <w:jc w:val="both"/>
              <w:rPr>
                <w:bCs/>
                <w:sz w:val="20"/>
                <w:szCs w:val="20"/>
              </w:rPr>
            </w:pPr>
            <w:r>
              <w:rPr>
                <w:bCs/>
                <w:sz w:val="20"/>
                <w:szCs w:val="20"/>
              </w:rPr>
              <w:t>15 days</w:t>
            </w:r>
          </w:p>
        </w:tc>
        <w:tc>
          <w:tcPr>
            <w:tcW w:w="2605" w:type="dxa"/>
          </w:tcPr>
          <w:p w14:paraId="1CD57472" w14:textId="7C959FF6" w:rsidR="005D1D2B" w:rsidRPr="00153681" w:rsidRDefault="009D72E4" w:rsidP="00E56547">
            <w:pPr>
              <w:spacing w:line="276" w:lineRule="auto"/>
              <w:jc w:val="both"/>
              <w:rPr>
                <w:bCs/>
                <w:sz w:val="20"/>
                <w:szCs w:val="20"/>
              </w:rPr>
            </w:pPr>
            <w:r>
              <w:rPr>
                <w:bCs/>
                <w:sz w:val="20"/>
                <w:szCs w:val="20"/>
              </w:rPr>
              <w:t>NPC, DRAP</w:t>
            </w:r>
          </w:p>
        </w:tc>
      </w:tr>
      <w:tr w:rsidR="008835B9" w14:paraId="35342A2D" w14:textId="43E0F5CF" w:rsidTr="001C5F1D">
        <w:trPr>
          <w:trHeight w:val="247"/>
        </w:trPr>
        <w:tc>
          <w:tcPr>
            <w:tcW w:w="720" w:type="dxa"/>
          </w:tcPr>
          <w:p w14:paraId="06BD5516" w14:textId="77777777" w:rsidR="005D1D2B" w:rsidRPr="00153681" w:rsidRDefault="005D1D2B" w:rsidP="00E56547">
            <w:pPr>
              <w:spacing w:line="276" w:lineRule="auto"/>
              <w:jc w:val="both"/>
              <w:rPr>
                <w:bCs/>
                <w:sz w:val="20"/>
                <w:szCs w:val="20"/>
              </w:rPr>
            </w:pPr>
            <w:r w:rsidRPr="00153681">
              <w:rPr>
                <w:bCs/>
                <w:sz w:val="20"/>
                <w:szCs w:val="20"/>
              </w:rPr>
              <w:t>3</w:t>
            </w:r>
          </w:p>
        </w:tc>
        <w:tc>
          <w:tcPr>
            <w:tcW w:w="2430" w:type="dxa"/>
          </w:tcPr>
          <w:p w14:paraId="2875E50A" w14:textId="77777777" w:rsidR="005D1D2B" w:rsidRPr="00153681" w:rsidRDefault="005D1D2B" w:rsidP="00E56547">
            <w:pPr>
              <w:spacing w:line="276" w:lineRule="auto"/>
              <w:jc w:val="both"/>
              <w:rPr>
                <w:bCs/>
                <w:sz w:val="20"/>
                <w:szCs w:val="20"/>
              </w:rPr>
            </w:pPr>
            <w:r w:rsidRPr="00153681">
              <w:rPr>
                <w:bCs/>
                <w:sz w:val="20"/>
                <w:szCs w:val="20"/>
              </w:rPr>
              <w:t>Registration Holders</w:t>
            </w:r>
          </w:p>
        </w:tc>
        <w:tc>
          <w:tcPr>
            <w:tcW w:w="1440" w:type="dxa"/>
          </w:tcPr>
          <w:p w14:paraId="39699E6C" w14:textId="7EAF10B0" w:rsidR="005D1D2B" w:rsidRPr="009D72E4" w:rsidRDefault="009D72E4" w:rsidP="009D72E4">
            <w:pPr>
              <w:spacing w:line="276" w:lineRule="auto"/>
              <w:jc w:val="both"/>
              <w:rPr>
                <w:bCs/>
                <w:sz w:val="20"/>
                <w:szCs w:val="20"/>
              </w:rPr>
            </w:pPr>
            <w:r w:rsidRPr="009D72E4">
              <w:rPr>
                <w:bCs/>
                <w:sz w:val="20"/>
                <w:szCs w:val="20"/>
              </w:rPr>
              <w:t>90 Days</w:t>
            </w:r>
          </w:p>
        </w:tc>
        <w:tc>
          <w:tcPr>
            <w:tcW w:w="1710" w:type="dxa"/>
          </w:tcPr>
          <w:p w14:paraId="23EF7A51" w14:textId="54D0BF97" w:rsidR="005D1D2B" w:rsidRPr="00153681" w:rsidRDefault="009D72E4" w:rsidP="00E56547">
            <w:pPr>
              <w:spacing w:line="276" w:lineRule="auto"/>
              <w:jc w:val="both"/>
              <w:rPr>
                <w:bCs/>
                <w:sz w:val="20"/>
                <w:szCs w:val="20"/>
              </w:rPr>
            </w:pPr>
            <w:r>
              <w:rPr>
                <w:bCs/>
                <w:sz w:val="20"/>
                <w:szCs w:val="20"/>
              </w:rPr>
              <w:t>15 days</w:t>
            </w:r>
          </w:p>
        </w:tc>
        <w:tc>
          <w:tcPr>
            <w:tcW w:w="2605" w:type="dxa"/>
          </w:tcPr>
          <w:p w14:paraId="2842E01D" w14:textId="13268B38" w:rsidR="005D1D2B" w:rsidRPr="00153681" w:rsidRDefault="009D72E4" w:rsidP="00E56547">
            <w:pPr>
              <w:spacing w:line="276" w:lineRule="auto"/>
              <w:jc w:val="both"/>
              <w:rPr>
                <w:bCs/>
                <w:sz w:val="20"/>
                <w:szCs w:val="20"/>
              </w:rPr>
            </w:pPr>
            <w:r>
              <w:rPr>
                <w:bCs/>
                <w:sz w:val="20"/>
                <w:szCs w:val="20"/>
              </w:rPr>
              <w:t>NPC, DRAP</w:t>
            </w:r>
          </w:p>
        </w:tc>
      </w:tr>
      <w:tr w:rsidR="008835B9" w14:paraId="2DD0E352" w14:textId="289C912D" w:rsidTr="001C5F1D">
        <w:trPr>
          <w:trHeight w:val="247"/>
        </w:trPr>
        <w:tc>
          <w:tcPr>
            <w:tcW w:w="720" w:type="dxa"/>
          </w:tcPr>
          <w:p w14:paraId="2D42D565" w14:textId="77777777" w:rsidR="005D1D2B" w:rsidRPr="00153681" w:rsidRDefault="005D1D2B" w:rsidP="00E56547">
            <w:pPr>
              <w:spacing w:line="276" w:lineRule="auto"/>
              <w:jc w:val="both"/>
              <w:rPr>
                <w:bCs/>
                <w:sz w:val="20"/>
                <w:szCs w:val="20"/>
              </w:rPr>
            </w:pPr>
            <w:r w:rsidRPr="00153681">
              <w:rPr>
                <w:bCs/>
                <w:sz w:val="20"/>
                <w:szCs w:val="20"/>
              </w:rPr>
              <w:t>4</w:t>
            </w:r>
          </w:p>
        </w:tc>
        <w:tc>
          <w:tcPr>
            <w:tcW w:w="2430" w:type="dxa"/>
          </w:tcPr>
          <w:p w14:paraId="78013D62" w14:textId="77777777" w:rsidR="005D1D2B" w:rsidRPr="00153681" w:rsidRDefault="005D1D2B" w:rsidP="00E56547">
            <w:pPr>
              <w:spacing w:line="276" w:lineRule="auto"/>
              <w:jc w:val="both"/>
              <w:rPr>
                <w:bCs/>
                <w:sz w:val="20"/>
                <w:szCs w:val="20"/>
              </w:rPr>
            </w:pPr>
            <w:r w:rsidRPr="00153681">
              <w:rPr>
                <w:bCs/>
                <w:sz w:val="20"/>
                <w:szCs w:val="20"/>
              </w:rPr>
              <w:t>Public Hospitals</w:t>
            </w:r>
          </w:p>
        </w:tc>
        <w:tc>
          <w:tcPr>
            <w:tcW w:w="1440" w:type="dxa"/>
          </w:tcPr>
          <w:p w14:paraId="356CF1A3" w14:textId="3624DD92" w:rsidR="005D1D2B" w:rsidRPr="009D72E4" w:rsidRDefault="009D72E4" w:rsidP="009D72E4">
            <w:pPr>
              <w:spacing w:line="276" w:lineRule="auto"/>
              <w:jc w:val="both"/>
              <w:rPr>
                <w:bCs/>
                <w:sz w:val="20"/>
                <w:szCs w:val="20"/>
              </w:rPr>
            </w:pPr>
            <w:r w:rsidRPr="009D72E4">
              <w:rPr>
                <w:bCs/>
                <w:sz w:val="20"/>
                <w:szCs w:val="20"/>
              </w:rPr>
              <w:t>30 Days</w:t>
            </w:r>
          </w:p>
        </w:tc>
        <w:tc>
          <w:tcPr>
            <w:tcW w:w="1710" w:type="dxa"/>
          </w:tcPr>
          <w:p w14:paraId="2F7EC824" w14:textId="6752DFA4" w:rsidR="005D1D2B" w:rsidRPr="00153681" w:rsidRDefault="009D72E4" w:rsidP="00E56547">
            <w:pPr>
              <w:spacing w:line="276" w:lineRule="auto"/>
              <w:jc w:val="both"/>
              <w:rPr>
                <w:bCs/>
                <w:sz w:val="20"/>
                <w:szCs w:val="20"/>
              </w:rPr>
            </w:pPr>
            <w:r>
              <w:rPr>
                <w:bCs/>
                <w:sz w:val="20"/>
                <w:szCs w:val="20"/>
              </w:rPr>
              <w:t>15 days</w:t>
            </w:r>
          </w:p>
        </w:tc>
        <w:tc>
          <w:tcPr>
            <w:tcW w:w="2605" w:type="dxa"/>
          </w:tcPr>
          <w:p w14:paraId="197A409E" w14:textId="3BE7C841" w:rsidR="005D1D2B" w:rsidRPr="00153681" w:rsidRDefault="009D72E4" w:rsidP="00E56547">
            <w:pPr>
              <w:spacing w:line="276" w:lineRule="auto"/>
              <w:jc w:val="both"/>
              <w:rPr>
                <w:bCs/>
                <w:sz w:val="20"/>
                <w:szCs w:val="20"/>
              </w:rPr>
            </w:pPr>
            <w:r>
              <w:rPr>
                <w:bCs/>
                <w:sz w:val="20"/>
                <w:szCs w:val="20"/>
              </w:rPr>
              <w:t>Provincial Centre</w:t>
            </w:r>
          </w:p>
        </w:tc>
      </w:tr>
      <w:tr w:rsidR="008835B9" w14:paraId="3CE3C50E" w14:textId="020DBC01" w:rsidTr="00F17166">
        <w:trPr>
          <w:trHeight w:val="334"/>
        </w:trPr>
        <w:tc>
          <w:tcPr>
            <w:tcW w:w="720" w:type="dxa"/>
          </w:tcPr>
          <w:p w14:paraId="41AD9D40" w14:textId="77777777" w:rsidR="005D1D2B" w:rsidRPr="00153681" w:rsidRDefault="005D1D2B" w:rsidP="00E56547">
            <w:pPr>
              <w:spacing w:line="276" w:lineRule="auto"/>
              <w:jc w:val="both"/>
              <w:rPr>
                <w:bCs/>
                <w:sz w:val="20"/>
                <w:szCs w:val="20"/>
              </w:rPr>
            </w:pPr>
            <w:r w:rsidRPr="00153681">
              <w:rPr>
                <w:bCs/>
                <w:sz w:val="20"/>
                <w:szCs w:val="20"/>
              </w:rPr>
              <w:t>5</w:t>
            </w:r>
          </w:p>
        </w:tc>
        <w:tc>
          <w:tcPr>
            <w:tcW w:w="2430" w:type="dxa"/>
          </w:tcPr>
          <w:p w14:paraId="3C767FA2" w14:textId="77777777" w:rsidR="005D1D2B" w:rsidRPr="00153681" w:rsidRDefault="005D1D2B" w:rsidP="00E56547">
            <w:pPr>
              <w:spacing w:line="276" w:lineRule="auto"/>
              <w:jc w:val="both"/>
              <w:rPr>
                <w:bCs/>
                <w:sz w:val="20"/>
                <w:szCs w:val="20"/>
              </w:rPr>
            </w:pPr>
            <w:r w:rsidRPr="00153681">
              <w:rPr>
                <w:bCs/>
                <w:sz w:val="20"/>
                <w:szCs w:val="20"/>
              </w:rPr>
              <w:t>Private Hospitals</w:t>
            </w:r>
          </w:p>
        </w:tc>
        <w:tc>
          <w:tcPr>
            <w:tcW w:w="1440" w:type="dxa"/>
          </w:tcPr>
          <w:p w14:paraId="290B4C75" w14:textId="5B834162" w:rsidR="005D1D2B" w:rsidRPr="00153681" w:rsidRDefault="009D72E4" w:rsidP="009D72E4">
            <w:pPr>
              <w:spacing w:line="276" w:lineRule="auto"/>
              <w:jc w:val="both"/>
              <w:rPr>
                <w:bCs/>
                <w:sz w:val="20"/>
                <w:szCs w:val="20"/>
              </w:rPr>
            </w:pPr>
            <w:r>
              <w:rPr>
                <w:bCs/>
                <w:sz w:val="20"/>
                <w:szCs w:val="20"/>
              </w:rPr>
              <w:t>30 Days</w:t>
            </w:r>
          </w:p>
        </w:tc>
        <w:tc>
          <w:tcPr>
            <w:tcW w:w="1710" w:type="dxa"/>
          </w:tcPr>
          <w:p w14:paraId="3180FFD8" w14:textId="715A83F9" w:rsidR="005D1D2B" w:rsidRPr="00153681" w:rsidRDefault="009D72E4" w:rsidP="00E56547">
            <w:pPr>
              <w:spacing w:line="276" w:lineRule="auto"/>
              <w:jc w:val="both"/>
              <w:rPr>
                <w:bCs/>
                <w:sz w:val="20"/>
                <w:szCs w:val="20"/>
              </w:rPr>
            </w:pPr>
            <w:r>
              <w:rPr>
                <w:bCs/>
                <w:sz w:val="20"/>
                <w:szCs w:val="20"/>
              </w:rPr>
              <w:t>15 days</w:t>
            </w:r>
          </w:p>
        </w:tc>
        <w:tc>
          <w:tcPr>
            <w:tcW w:w="2605" w:type="dxa"/>
          </w:tcPr>
          <w:p w14:paraId="63F2143B" w14:textId="51655221" w:rsidR="005D1D2B" w:rsidRPr="00153681" w:rsidRDefault="009D72E4" w:rsidP="00E56547">
            <w:pPr>
              <w:spacing w:line="276" w:lineRule="auto"/>
              <w:jc w:val="both"/>
              <w:rPr>
                <w:bCs/>
                <w:sz w:val="20"/>
                <w:szCs w:val="20"/>
              </w:rPr>
            </w:pPr>
            <w:r>
              <w:rPr>
                <w:bCs/>
                <w:sz w:val="20"/>
                <w:szCs w:val="20"/>
              </w:rPr>
              <w:t>Provincial Centre</w:t>
            </w:r>
          </w:p>
        </w:tc>
      </w:tr>
      <w:tr w:rsidR="008835B9" w14:paraId="29DD81D7" w14:textId="3811C972" w:rsidTr="001C5F1D">
        <w:trPr>
          <w:trHeight w:val="772"/>
        </w:trPr>
        <w:tc>
          <w:tcPr>
            <w:tcW w:w="720" w:type="dxa"/>
          </w:tcPr>
          <w:p w14:paraId="593BB516" w14:textId="77777777" w:rsidR="005D1D2B" w:rsidRPr="00153681" w:rsidRDefault="005D1D2B" w:rsidP="00E56547">
            <w:pPr>
              <w:spacing w:line="276" w:lineRule="auto"/>
              <w:jc w:val="both"/>
              <w:rPr>
                <w:bCs/>
                <w:sz w:val="20"/>
                <w:szCs w:val="20"/>
              </w:rPr>
            </w:pPr>
            <w:r w:rsidRPr="00153681">
              <w:rPr>
                <w:bCs/>
                <w:sz w:val="20"/>
                <w:szCs w:val="20"/>
              </w:rPr>
              <w:t>7</w:t>
            </w:r>
          </w:p>
        </w:tc>
        <w:tc>
          <w:tcPr>
            <w:tcW w:w="2430" w:type="dxa"/>
          </w:tcPr>
          <w:p w14:paraId="629EEDB9" w14:textId="77777777" w:rsidR="005D1D2B" w:rsidRPr="00153681" w:rsidRDefault="005D1D2B" w:rsidP="00E56547">
            <w:pPr>
              <w:spacing w:line="276" w:lineRule="auto"/>
              <w:jc w:val="both"/>
              <w:rPr>
                <w:bCs/>
                <w:sz w:val="20"/>
                <w:szCs w:val="20"/>
              </w:rPr>
            </w:pPr>
            <w:r w:rsidRPr="00153681">
              <w:rPr>
                <w:bCs/>
                <w:sz w:val="20"/>
                <w:szCs w:val="20"/>
              </w:rPr>
              <w:t>Healthcare Professionals</w:t>
            </w:r>
          </w:p>
        </w:tc>
        <w:tc>
          <w:tcPr>
            <w:tcW w:w="1440" w:type="dxa"/>
          </w:tcPr>
          <w:p w14:paraId="4D02B142" w14:textId="2CA093DD" w:rsidR="005D1D2B" w:rsidRPr="00153681" w:rsidRDefault="002546FB" w:rsidP="00E56547">
            <w:pPr>
              <w:spacing w:line="276" w:lineRule="auto"/>
              <w:jc w:val="both"/>
              <w:rPr>
                <w:bCs/>
                <w:sz w:val="20"/>
                <w:szCs w:val="20"/>
              </w:rPr>
            </w:pPr>
            <w:r>
              <w:rPr>
                <w:bCs/>
                <w:sz w:val="20"/>
                <w:szCs w:val="20"/>
              </w:rPr>
              <w:t>As per convenience</w:t>
            </w:r>
          </w:p>
        </w:tc>
        <w:tc>
          <w:tcPr>
            <w:tcW w:w="1710" w:type="dxa"/>
          </w:tcPr>
          <w:p w14:paraId="392A6124" w14:textId="3B81334C" w:rsidR="005D1D2B" w:rsidRPr="00153681" w:rsidRDefault="009D72E4" w:rsidP="00E56547">
            <w:pPr>
              <w:spacing w:line="276" w:lineRule="auto"/>
              <w:jc w:val="both"/>
              <w:rPr>
                <w:bCs/>
                <w:sz w:val="20"/>
                <w:szCs w:val="20"/>
              </w:rPr>
            </w:pPr>
            <w:r>
              <w:rPr>
                <w:bCs/>
                <w:sz w:val="20"/>
                <w:szCs w:val="20"/>
              </w:rPr>
              <w:t>As soon as possible</w:t>
            </w:r>
          </w:p>
        </w:tc>
        <w:tc>
          <w:tcPr>
            <w:tcW w:w="2605" w:type="dxa"/>
          </w:tcPr>
          <w:p w14:paraId="7948913F" w14:textId="77777777" w:rsidR="005D1D2B" w:rsidRDefault="009D72E4" w:rsidP="00E56547">
            <w:pPr>
              <w:spacing w:line="276" w:lineRule="auto"/>
              <w:jc w:val="both"/>
              <w:rPr>
                <w:bCs/>
                <w:sz w:val="20"/>
                <w:szCs w:val="20"/>
              </w:rPr>
            </w:pPr>
            <w:r>
              <w:rPr>
                <w:bCs/>
                <w:sz w:val="20"/>
                <w:szCs w:val="20"/>
              </w:rPr>
              <w:t>NPC, DRAP</w:t>
            </w:r>
          </w:p>
          <w:p w14:paraId="1D5B5D3E" w14:textId="77777777" w:rsidR="009D72E4" w:rsidRDefault="009D72E4" w:rsidP="00E56547">
            <w:pPr>
              <w:spacing w:line="276" w:lineRule="auto"/>
              <w:jc w:val="both"/>
              <w:rPr>
                <w:bCs/>
                <w:sz w:val="20"/>
                <w:szCs w:val="20"/>
              </w:rPr>
            </w:pPr>
            <w:r>
              <w:rPr>
                <w:bCs/>
                <w:sz w:val="20"/>
                <w:szCs w:val="20"/>
              </w:rPr>
              <w:t>Provincial Centre</w:t>
            </w:r>
          </w:p>
          <w:p w14:paraId="1D69FCF2" w14:textId="5DB26EF4" w:rsidR="009D72E4" w:rsidRPr="00153681" w:rsidRDefault="009D72E4" w:rsidP="00E56547">
            <w:pPr>
              <w:spacing w:line="276" w:lineRule="auto"/>
              <w:jc w:val="both"/>
              <w:rPr>
                <w:bCs/>
                <w:sz w:val="20"/>
                <w:szCs w:val="20"/>
              </w:rPr>
            </w:pPr>
            <w:r>
              <w:rPr>
                <w:bCs/>
                <w:sz w:val="20"/>
                <w:szCs w:val="20"/>
              </w:rPr>
              <w:t>Registration holder</w:t>
            </w:r>
          </w:p>
        </w:tc>
      </w:tr>
      <w:tr w:rsidR="008835B9" w14:paraId="263A69EE" w14:textId="0619A44A" w:rsidTr="001C5F1D">
        <w:trPr>
          <w:trHeight w:val="757"/>
        </w:trPr>
        <w:tc>
          <w:tcPr>
            <w:tcW w:w="720" w:type="dxa"/>
          </w:tcPr>
          <w:p w14:paraId="31CACDD4" w14:textId="77777777" w:rsidR="005D1D2B" w:rsidRPr="00153681" w:rsidRDefault="005D1D2B" w:rsidP="00E56547">
            <w:pPr>
              <w:spacing w:line="276" w:lineRule="auto"/>
              <w:jc w:val="both"/>
              <w:rPr>
                <w:bCs/>
                <w:sz w:val="20"/>
                <w:szCs w:val="20"/>
              </w:rPr>
            </w:pPr>
            <w:r w:rsidRPr="00153681">
              <w:rPr>
                <w:bCs/>
                <w:sz w:val="20"/>
                <w:szCs w:val="20"/>
              </w:rPr>
              <w:t>8</w:t>
            </w:r>
          </w:p>
        </w:tc>
        <w:tc>
          <w:tcPr>
            <w:tcW w:w="2430" w:type="dxa"/>
          </w:tcPr>
          <w:p w14:paraId="4C4704BF" w14:textId="77777777" w:rsidR="005D1D2B" w:rsidRPr="00153681" w:rsidRDefault="005D1D2B" w:rsidP="00E56547">
            <w:pPr>
              <w:spacing w:line="276" w:lineRule="auto"/>
              <w:jc w:val="both"/>
              <w:rPr>
                <w:bCs/>
                <w:sz w:val="20"/>
                <w:szCs w:val="20"/>
              </w:rPr>
            </w:pPr>
            <w:r w:rsidRPr="00153681">
              <w:rPr>
                <w:bCs/>
                <w:sz w:val="20"/>
                <w:szCs w:val="20"/>
              </w:rPr>
              <w:t xml:space="preserve">Patients </w:t>
            </w:r>
          </w:p>
        </w:tc>
        <w:tc>
          <w:tcPr>
            <w:tcW w:w="1440" w:type="dxa"/>
          </w:tcPr>
          <w:p w14:paraId="4EC3407A" w14:textId="30B5E8A7" w:rsidR="005D1D2B" w:rsidRPr="00153681" w:rsidRDefault="002546FB" w:rsidP="00E56547">
            <w:pPr>
              <w:spacing w:line="276" w:lineRule="auto"/>
              <w:jc w:val="both"/>
              <w:rPr>
                <w:bCs/>
                <w:sz w:val="20"/>
                <w:szCs w:val="20"/>
              </w:rPr>
            </w:pPr>
            <w:r>
              <w:rPr>
                <w:bCs/>
                <w:sz w:val="20"/>
                <w:szCs w:val="20"/>
              </w:rPr>
              <w:t>As per convenience</w:t>
            </w:r>
          </w:p>
        </w:tc>
        <w:tc>
          <w:tcPr>
            <w:tcW w:w="1710" w:type="dxa"/>
          </w:tcPr>
          <w:p w14:paraId="0107E074" w14:textId="6C867227" w:rsidR="005D1D2B" w:rsidRPr="00153681" w:rsidRDefault="009D72E4" w:rsidP="00E56547">
            <w:pPr>
              <w:spacing w:line="276" w:lineRule="auto"/>
              <w:jc w:val="both"/>
              <w:rPr>
                <w:bCs/>
                <w:sz w:val="20"/>
                <w:szCs w:val="20"/>
              </w:rPr>
            </w:pPr>
            <w:r>
              <w:rPr>
                <w:bCs/>
                <w:sz w:val="20"/>
                <w:szCs w:val="20"/>
              </w:rPr>
              <w:t>As soon as possible</w:t>
            </w:r>
          </w:p>
        </w:tc>
        <w:tc>
          <w:tcPr>
            <w:tcW w:w="2605" w:type="dxa"/>
          </w:tcPr>
          <w:p w14:paraId="1C58C248" w14:textId="77777777" w:rsidR="009D72E4" w:rsidRDefault="009D72E4" w:rsidP="009D72E4">
            <w:pPr>
              <w:spacing w:line="276" w:lineRule="auto"/>
              <w:jc w:val="both"/>
              <w:rPr>
                <w:bCs/>
                <w:sz w:val="20"/>
                <w:szCs w:val="20"/>
              </w:rPr>
            </w:pPr>
            <w:r>
              <w:rPr>
                <w:bCs/>
                <w:sz w:val="20"/>
                <w:szCs w:val="20"/>
              </w:rPr>
              <w:t>NPC, DRAP</w:t>
            </w:r>
          </w:p>
          <w:p w14:paraId="14221408" w14:textId="77777777" w:rsidR="009D72E4" w:rsidRDefault="009D72E4" w:rsidP="009D72E4">
            <w:pPr>
              <w:spacing w:line="276" w:lineRule="auto"/>
              <w:jc w:val="both"/>
              <w:rPr>
                <w:bCs/>
                <w:sz w:val="20"/>
                <w:szCs w:val="20"/>
              </w:rPr>
            </w:pPr>
            <w:r>
              <w:rPr>
                <w:bCs/>
                <w:sz w:val="20"/>
                <w:szCs w:val="20"/>
              </w:rPr>
              <w:t>Provincial Centre</w:t>
            </w:r>
          </w:p>
          <w:p w14:paraId="20C04C3A" w14:textId="7A674281" w:rsidR="005D1D2B" w:rsidRPr="00153681" w:rsidRDefault="009D72E4" w:rsidP="009D72E4">
            <w:pPr>
              <w:spacing w:line="276" w:lineRule="auto"/>
              <w:jc w:val="both"/>
              <w:rPr>
                <w:bCs/>
                <w:sz w:val="20"/>
                <w:szCs w:val="20"/>
              </w:rPr>
            </w:pPr>
            <w:r>
              <w:rPr>
                <w:bCs/>
                <w:sz w:val="20"/>
                <w:szCs w:val="20"/>
              </w:rPr>
              <w:t>Registration holder</w:t>
            </w:r>
          </w:p>
        </w:tc>
      </w:tr>
    </w:tbl>
    <w:p w14:paraId="2D75F1D4" w14:textId="77777777" w:rsidR="00FC1A36" w:rsidRPr="00FC1A36" w:rsidRDefault="00FC1A36" w:rsidP="00FC1A36">
      <w:pPr>
        <w:spacing w:before="120" w:after="120" w:line="276" w:lineRule="auto"/>
        <w:jc w:val="both"/>
        <w:rPr>
          <w:bCs/>
          <w:sz w:val="24"/>
          <w:szCs w:val="24"/>
        </w:rPr>
      </w:pPr>
    </w:p>
    <w:p w14:paraId="2CA08AC4" w14:textId="5A80E3AC" w:rsidR="00FC1A36" w:rsidRPr="00FC1A36" w:rsidRDefault="00FC1A36" w:rsidP="00FC1A36">
      <w:pPr>
        <w:spacing w:before="120" w:after="120" w:line="276" w:lineRule="auto"/>
        <w:jc w:val="both"/>
        <w:rPr>
          <w:bCs/>
          <w:sz w:val="28"/>
          <w:szCs w:val="28"/>
        </w:rPr>
      </w:pPr>
      <w:r w:rsidRPr="00D1742D">
        <w:rPr>
          <w:b/>
          <w:sz w:val="28"/>
          <w:szCs w:val="28"/>
        </w:rPr>
        <w:t>4.6</w:t>
      </w:r>
      <w:r w:rsidRPr="00FC1A36">
        <w:rPr>
          <w:bCs/>
          <w:sz w:val="28"/>
          <w:szCs w:val="28"/>
        </w:rPr>
        <w:t xml:space="preserve"> </w:t>
      </w:r>
      <w:r w:rsidRPr="00FC1A36">
        <w:rPr>
          <w:b/>
          <w:sz w:val="28"/>
          <w:szCs w:val="28"/>
        </w:rPr>
        <w:t>What Happens to reports?</w:t>
      </w:r>
    </w:p>
    <w:p w14:paraId="00B48D26" w14:textId="673A8F11" w:rsidR="00561FF2" w:rsidRPr="00CA6572" w:rsidRDefault="00561FF2" w:rsidP="00B551AA">
      <w:pPr>
        <w:pStyle w:val="ListParagraph"/>
        <w:numPr>
          <w:ilvl w:val="0"/>
          <w:numId w:val="80"/>
        </w:numPr>
        <w:spacing w:before="120" w:after="120" w:line="360" w:lineRule="auto"/>
        <w:ind w:left="993" w:hanging="446"/>
        <w:contextualSpacing w:val="0"/>
        <w:jc w:val="both"/>
        <w:rPr>
          <w:bCs/>
          <w:sz w:val="24"/>
          <w:szCs w:val="24"/>
        </w:rPr>
      </w:pPr>
      <w:r w:rsidRPr="009D37DD">
        <w:rPr>
          <w:bCs/>
          <w:i/>
          <w:iCs/>
          <w:sz w:val="26"/>
          <w:szCs w:val="26"/>
          <w:u w:val="single"/>
        </w:rPr>
        <w:t>Hospital:</w:t>
      </w:r>
      <w:r w:rsidRPr="009D37DD">
        <w:rPr>
          <w:bCs/>
          <w:sz w:val="26"/>
          <w:szCs w:val="26"/>
        </w:rPr>
        <w:t xml:space="preserve"> </w:t>
      </w:r>
      <w:r w:rsidR="00D46247">
        <w:rPr>
          <w:bCs/>
          <w:sz w:val="24"/>
          <w:szCs w:val="24"/>
        </w:rPr>
        <w:t>A p</w:t>
      </w:r>
      <w:r w:rsidRPr="00CA6572">
        <w:rPr>
          <w:bCs/>
          <w:sz w:val="24"/>
          <w:szCs w:val="24"/>
        </w:rPr>
        <w:t xml:space="preserve">harmacovigilance officer (PO) working </w:t>
      </w:r>
      <w:r w:rsidR="00D46247">
        <w:rPr>
          <w:bCs/>
          <w:sz w:val="24"/>
          <w:szCs w:val="24"/>
        </w:rPr>
        <w:t xml:space="preserve">in </w:t>
      </w:r>
      <w:r w:rsidRPr="00CA6572">
        <w:rPr>
          <w:bCs/>
          <w:sz w:val="24"/>
          <w:szCs w:val="24"/>
        </w:rPr>
        <w:t xml:space="preserve">hospitals </w:t>
      </w:r>
      <w:r w:rsidR="00D46247">
        <w:rPr>
          <w:bCs/>
          <w:sz w:val="24"/>
          <w:szCs w:val="24"/>
        </w:rPr>
        <w:t xml:space="preserve">needs to </w:t>
      </w:r>
      <w:r w:rsidRPr="00CA6572">
        <w:rPr>
          <w:bCs/>
          <w:sz w:val="24"/>
          <w:szCs w:val="24"/>
        </w:rPr>
        <w:t>collect all serious and non-serious AE/ADR from patient</w:t>
      </w:r>
      <w:r w:rsidR="00D46247">
        <w:rPr>
          <w:bCs/>
          <w:sz w:val="24"/>
          <w:szCs w:val="24"/>
        </w:rPr>
        <w:t>s</w:t>
      </w:r>
      <w:r w:rsidRPr="00CA6572">
        <w:rPr>
          <w:bCs/>
          <w:sz w:val="24"/>
          <w:szCs w:val="24"/>
        </w:rPr>
        <w:t xml:space="preserve"> and other healthcare professionals. At first</w:t>
      </w:r>
      <w:r w:rsidR="00D46247">
        <w:rPr>
          <w:bCs/>
          <w:sz w:val="24"/>
          <w:szCs w:val="24"/>
        </w:rPr>
        <w:t>,</w:t>
      </w:r>
      <w:r w:rsidRPr="00CA6572">
        <w:rPr>
          <w:bCs/>
          <w:sz w:val="24"/>
          <w:szCs w:val="24"/>
        </w:rPr>
        <w:t xml:space="preserve"> the ADR/AE is documented by giving it</w:t>
      </w:r>
      <w:r w:rsidR="00D46247">
        <w:rPr>
          <w:bCs/>
          <w:sz w:val="24"/>
          <w:szCs w:val="24"/>
        </w:rPr>
        <w:t xml:space="preserve"> a</w:t>
      </w:r>
      <w:r w:rsidRPr="00CA6572">
        <w:rPr>
          <w:bCs/>
          <w:sz w:val="24"/>
          <w:szCs w:val="24"/>
        </w:rPr>
        <w:t xml:space="preserve"> proper number</w:t>
      </w:r>
      <w:r w:rsidR="00D46247">
        <w:rPr>
          <w:bCs/>
          <w:sz w:val="24"/>
          <w:szCs w:val="24"/>
        </w:rPr>
        <w:t xml:space="preserve"> in a register</w:t>
      </w:r>
      <w:r w:rsidRPr="00CA6572">
        <w:rPr>
          <w:bCs/>
          <w:sz w:val="24"/>
          <w:szCs w:val="24"/>
        </w:rPr>
        <w:t xml:space="preserve">. The ADR/AE is checked for data quality </w:t>
      </w:r>
      <w:r w:rsidR="00D46247">
        <w:rPr>
          <w:bCs/>
          <w:sz w:val="24"/>
          <w:szCs w:val="24"/>
        </w:rPr>
        <w:t>of</w:t>
      </w:r>
      <w:r w:rsidRPr="00CA6572">
        <w:rPr>
          <w:bCs/>
          <w:sz w:val="24"/>
          <w:szCs w:val="24"/>
        </w:rPr>
        <w:t xml:space="preserve"> essentially required and mandatory information. If follow-up information is required healthcare professionals and patient</w:t>
      </w:r>
      <w:r w:rsidR="00D46247">
        <w:rPr>
          <w:bCs/>
          <w:sz w:val="24"/>
          <w:szCs w:val="24"/>
        </w:rPr>
        <w:t>s</w:t>
      </w:r>
      <w:r w:rsidRPr="00CA6572">
        <w:rPr>
          <w:bCs/>
          <w:sz w:val="24"/>
          <w:szCs w:val="24"/>
        </w:rPr>
        <w:t xml:space="preserve"> can be contacted. The </w:t>
      </w:r>
      <w:r w:rsidR="00D46247">
        <w:rPr>
          <w:bCs/>
          <w:sz w:val="24"/>
          <w:szCs w:val="24"/>
        </w:rPr>
        <w:t>PO</w:t>
      </w:r>
      <w:r w:rsidRPr="00CA6572">
        <w:rPr>
          <w:bCs/>
          <w:sz w:val="24"/>
          <w:szCs w:val="24"/>
        </w:rPr>
        <w:t xml:space="preserve"> perform the initial causality assessment of the report. The report is then presented before </w:t>
      </w:r>
      <w:r w:rsidR="00D46247">
        <w:rPr>
          <w:bCs/>
          <w:sz w:val="24"/>
          <w:szCs w:val="24"/>
        </w:rPr>
        <w:t xml:space="preserve">the </w:t>
      </w:r>
      <w:r w:rsidRPr="00CA6572">
        <w:rPr>
          <w:bCs/>
          <w:sz w:val="24"/>
          <w:szCs w:val="24"/>
        </w:rPr>
        <w:t xml:space="preserve">pharmacovigilance committee </w:t>
      </w:r>
      <w:r w:rsidR="00D46247">
        <w:rPr>
          <w:bCs/>
          <w:sz w:val="24"/>
          <w:szCs w:val="24"/>
        </w:rPr>
        <w:t xml:space="preserve">of the hospital </w:t>
      </w:r>
      <w:r w:rsidRPr="00CA6572">
        <w:rPr>
          <w:bCs/>
          <w:sz w:val="24"/>
          <w:szCs w:val="24"/>
        </w:rPr>
        <w:t xml:space="preserve">for assessment and action. When the causality of </w:t>
      </w:r>
      <w:r w:rsidR="00D46247">
        <w:rPr>
          <w:bCs/>
          <w:sz w:val="24"/>
          <w:szCs w:val="24"/>
        </w:rPr>
        <w:t xml:space="preserve">the </w:t>
      </w:r>
      <w:r w:rsidRPr="00CA6572">
        <w:rPr>
          <w:bCs/>
          <w:sz w:val="24"/>
          <w:szCs w:val="24"/>
        </w:rPr>
        <w:t xml:space="preserve">report is reviewed by </w:t>
      </w:r>
      <w:r w:rsidR="00482898">
        <w:rPr>
          <w:bCs/>
          <w:sz w:val="24"/>
          <w:szCs w:val="24"/>
        </w:rPr>
        <w:t xml:space="preserve">the </w:t>
      </w:r>
      <w:r w:rsidRPr="00CA6572">
        <w:rPr>
          <w:bCs/>
          <w:sz w:val="24"/>
          <w:szCs w:val="24"/>
        </w:rPr>
        <w:t>pharmacovigilance committee it is sent to PPCs as per the reporting timeline</w:t>
      </w:r>
      <w:r w:rsidR="00482898">
        <w:rPr>
          <w:bCs/>
          <w:sz w:val="24"/>
          <w:szCs w:val="24"/>
        </w:rPr>
        <w:t>s provided in the Pharmacovigilance Rules, 2022</w:t>
      </w:r>
      <w:r w:rsidRPr="00CA6572">
        <w:rPr>
          <w:bCs/>
          <w:sz w:val="24"/>
          <w:szCs w:val="24"/>
        </w:rPr>
        <w:t xml:space="preserve">. In case the hospital is </w:t>
      </w:r>
      <w:r w:rsidR="00482898">
        <w:rPr>
          <w:bCs/>
          <w:sz w:val="24"/>
          <w:szCs w:val="24"/>
        </w:rPr>
        <w:t xml:space="preserve">a </w:t>
      </w:r>
      <w:r w:rsidRPr="00CA6572">
        <w:rPr>
          <w:bCs/>
          <w:sz w:val="24"/>
          <w:szCs w:val="24"/>
        </w:rPr>
        <w:t>sub-regional centre and is integrated in</w:t>
      </w:r>
      <w:r w:rsidR="00482898">
        <w:rPr>
          <w:bCs/>
          <w:sz w:val="24"/>
          <w:szCs w:val="24"/>
        </w:rPr>
        <w:t>to</w:t>
      </w:r>
      <w:r w:rsidRPr="00CA6572">
        <w:rPr>
          <w:bCs/>
          <w:sz w:val="24"/>
          <w:szCs w:val="24"/>
        </w:rPr>
        <w:t xml:space="preserve"> Pakistan </w:t>
      </w:r>
      <w:proofErr w:type="spellStart"/>
      <w:r w:rsidRPr="00CA6572">
        <w:rPr>
          <w:bCs/>
          <w:sz w:val="24"/>
          <w:szCs w:val="24"/>
        </w:rPr>
        <w:t>VigiFlow</w:t>
      </w:r>
      <w:proofErr w:type="spellEnd"/>
      <w:r w:rsidRPr="00CA6572">
        <w:rPr>
          <w:bCs/>
          <w:sz w:val="24"/>
          <w:szCs w:val="24"/>
        </w:rPr>
        <w:t xml:space="preserve">; then, PO should enter the report into </w:t>
      </w:r>
      <w:proofErr w:type="spellStart"/>
      <w:r w:rsidRPr="00CA6572">
        <w:rPr>
          <w:bCs/>
          <w:sz w:val="24"/>
          <w:szCs w:val="24"/>
        </w:rPr>
        <w:t>VigiFlow</w:t>
      </w:r>
      <w:proofErr w:type="spellEnd"/>
      <w:r w:rsidRPr="00CA6572">
        <w:rPr>
          <w:bCs/>
          <w:sz w:val="24"/>
          <w:szCs w:val="24"/>
        </w:rPr>
        <w:t>, by properly coding through terminologies such as MedDRA and WHO-Drug.</w:t>
      </w:r>
    </w:p>
    <w:p w14:paraId="2997A3E7" w14:textId="7764B04A" w:rsidR="00561FF2" w:rsidRPr="00CA6572" w:rsidRDefault="00561FF2" w:rsidP="00B551AA">
      <w:pPr>
        <w:pStyle w:val="ListParagraph"/>
        <w:numPr>
          <w:ilvl w:val="0"/>
          <w:numId w:val="80"/>
        </w:numPr>
        <w:spacing w:before="120" w:after="120" w:line="360" w:lineRule="auto"/>
        <w:ind w:left="993" w:hanging="446"/>
        <w:contextualSpacing w:val="0"/>
        <w:jc w:val="both"/>
        <w:rPr>
          <w:bCs/>
          <w:sz w:val="24"/>
          <w:szCs w:val="24"/>
          <w:u w:val="single"/>
        </w:rPr>
      </w:pPr>
      <w:r w:rsidRPr="009D37DD">
        <w:rPr>
          <w:bCs/>
          <w:i/>
          <w:iCs/>
          <w:sz w:val="26"/>
          <w:szCs w:val="26"/>
          <w:u w:val="single"/>
        </w:rPr>
        <w:t>Provincial Pharmacovigilance Centres (PPC</w:t>
      </w:r>
      <w:r w:rsidRPr="00482898">
        <w:rPr>
          <w:bCs/>
          <w:i/>
          <w:iCs/>
          <w:sz w:val="24"/>
          <w:szCs w:val="24"/>
          <w:u w:val="single"/>
        </w:rPr>
        <w:t>)</w:t>
      </w:r>
      <w:r w:rsidR="00482898">
        <w:rPr>
          <w:bCs/>
          <w:i/>
          <w:iCs/>
          <w:sz w:val="24"/>
          <w:szCs w:val="24"/>
          <w:u w:val="single"/>
        </w:rPr>
        <w:t>:</w:t>
      </w:r>
      <w:r w:rsidR="00482898">
        <w:rPr>
          <w:bCs/>
          <w:i/>
          <w:iCs/>
          <w:sz w:val="24"/>
          <w:szCs w:val="24"/>
        </w:rPr>
        <w:t xml:space="preserve"> </w:t>
      </w:r>
      <w:proofErr w:type="spellStart"/>
      <w:r w:rsidR="00482898" w:rsidRPr="00482898">
        <w:rPr>
          <w:bCs/>
          <w:sz w:val="24"/>
          <w:szCs w:val="24"/>
        </w:rPr>
        <w:t>Po</w:t>
      </w:r>
      <w:r w:rsidR="00482898">
        <w:rPr>
          <w:bCs/>
          <w:sz w:val="24"/>
          <w:szCs w:val="24"/>
        </w:rPr>
        <w:t>s</w:t>
      </w:r>
      <w:proofErr w:type="spellEnd"/>
      <w:r w:rsidR="00482898">
        <w:rPr>
          <w:bCs/>
          <w:sz w:val="24"/>
          <w:szCs w:val="24"/>
        </w:rPr>
        <w:t xml:space="preserve"> </w:t>
      </w:r>
      <w:r w:rsidRPr="00CA6572">
        <w:rPr>
          <w:bCs/>
          <w:sz w:val="24"/>
          <w:szCs w:val="24"/>
        </w:rPr>
        <w:t>at PPC should at first document the ADR/AE report by assigning a unique identification number</w:t>
      </w:r>
      <w:r w:rsidR="00482898">
        <w:rPr>
          <w:bCs/>
          <w:sz w:val="24"/>
          <w:szCs w:val="24"/>
        </w:rPr>
        <w:t xml:space="preserve"> in the register</w:t>
      </w:r>
      <w:r w:rsidRPr="00CA6572">
        <w:rPr>
          <w:bCs/>
          <w:sz w:val="24"/>
          <w:szCs w:val="24"/>
        </w:rPr>
        <w:t xml:space="preserve">. Subsequently, </w:t>
      </w:r>
      <w:r w:rsidR="00482898">
        <w:rPr>
          <w:bCs/>
          <w:sz w:val="24"/>
          <w:szCs w:val="24"/>
        </w:rPr>
        <w:t xml:space="preserve">reports </w:t>
      </w:r>
      <w:r w:rsidRPr="00CA6572">
        <w:rPr>
          <w:bCs/>
          <w:sz w:val="24"/>
          <w:szCs w:val="24"/>
        </w:rPr>
        <w:t xml:space="preserve">should </w:t>
      </w:r>
      <w:r w:rsidR="00482898">
        <w:rPr>
          <w:bCs/>
          <w:sz w:val="24"/>
          <w:szCs w:val="24"/>
        </w:rPr>
        <w:t xml:space="preserve">be </w:t>
      </w:r>
      <w:r w:rsidRPr="00CA6572">
        <w:rPr>
          <w:bCs/>
          <w:sz w:val="24"/>
          <w:szCs w:val="24"/>
        </w:rPr>
        <w:t>check</w:t>
      </w:r>
      <w:r w:rsidR="00482898">
        <w:rPr>
          <w:bCs/>
          <w:sz w:val="24"/>
          <w:szCs w:val="24"/>
        </w:rPr>
        <w:t xml:space="preserve">ed </w:t>
      </w:r>
      <w:r w:rsidRPr="00CA6572">
        <w:rPr>
          <w:bCs/>
          <w:sz w:val="24"/>
          <w:szCs w:val="24"/>
        </w:rPr>
        <w:t>for mandatory and essentially required information. If information is missing, PO</w:t>
      </w:r>
      <w:r w:rsidR="00482898">
        <w:rPr>
          <w:bCs/>
          <w:sz w:val="24"/>
          <w:szCs w:val="24"/>
        </w:rPr>
        <w:t>s</w:t>
      </w:r>
      <w:r w:rsidRPr="00CA6572">
        <w:rPr>
          <w:bCs/>
          <w:sz w:val="24"/>
          <w:szCs w:val="24"/>
        </w:rPr>
        <w:t xml:space="preserve"> should contact the HCP, patient, therapeutic goods’ sale point or PO</w:t>
      </w:r>
      <w:r w:rsidR="00482898">
        <w:rPr>
          <w:bCs/>
          <w:sz w:val="24"/>
          <w:szCs w:val="24"/>
        </w:rPr>
        <w:t>/Focal Person</w:t>
      </w:r>
      <w:r w:rsidRPr="00CA6572">
        <w:rPr>
          <w:bCs/>
          <w:sz w:val="24"/>
          <w:szCs w:val="24"/>
        </w:rPr>
        <w:t xml:space="preserve"> in the hospital. </w:t>
      </w:r>
      <w:r w:rsidR="00482898">
        <w:rPr>
          <w:bCs/>
          <w:sz w:val="24"/>
          <w:szCs w:val="24"/>
        </w:rPr>
        <w:t xml:space="preserve">Accordingly, the </w:t>
      </w:r>
      <w:proofErr w:type="spellStart"/>
      <w:r w:rsidR="00482898">
        <w:rPr>
          <w:bCs/>
          <w:sz w:val="24"/>
          <w:szCs w:val="24"/>
        </w:rPr>
        <w:t>Pos</w:t>
      </w:r>
      <w:proofErr w:type="spellEnd"/>
      <w:r w:rsidR="00482898">
        <w:rPr>
          <w:bCs/>
          <w:sz w:val="24"/>
          <w:szCs w:val="24"/>
        </w:rPr>
        <w:t xml:space="preserve"> at PPCs </w:t>
      </w:r>
      <w:r w:rsidR="00482898" w:rsidRPr="00CA6572">
        <w:rPr>
          <w:bCs/>
          <w:sz w:val="24"/>
          <w:szCs w:val="24"/>
        </w:rPr>
        <w:t xml:space="preserve">perform </w:t>
      </w:r>
      <w:r w:rsidRPr="00CA6572">
        <w:rPr>
          <w:bCs/>
          <w:sz w:val="24"/>
          <w:szCs w:val="24"/>
        </w:rPr>
        <w:t xml:space="preserve">the initial causality assessment and present the case before the provincial </w:t>
      </w:r>
      <w:r w:rsidR="00482898" w:rsidRPr="00CA6572">
        <w:rPr>
          <w:bCs/>
          <w:sz w:val="24"/>
          <w:szCs w:val="24"/>
        </w:rPr>
        <w:t>Pharmacovigilance Committee</w:t>
      </w:r>
      <w:r w:rsidRPr="00CA6572">
        <w:rPr>
          <w:bCs/>
          <w:sz w:val="24"/>
          <w:szCs w:val="24"/>
        </w:rPr>
        <w:t>, which review</w:t>
      </w:r>
      <w:r w:rsidR="00482898">
        <w:rPr>
          <w:bCs/>
          <w:sz w:val="24"/>
          <w:szCs w:val="24"/>
        </w:rPr>
        <w:t>s</w:t>
      </w:r>
      <w:r w:rsidRPr="00CA6572">
        <w:rPr>
          <w:bCs/>
          <w:sz w:val="24"/>
          <w:szCs w:val="24"/>
        </w:rPr>
        <w:t xml:space="preserve"> the casualty assessment. </w:t>
      </w:r>
      <w:r w:rsidRPr="00CA6572">
        <w:rPr>
          <w:sz w:val="24"/>
          <w:szCs w:val="24"/>
        </w:rPr>
        <w:t xml:space="preserve">In other words, PPCs perform the complete assessment of individual reports that will be discussed in </w:t>
      </w:r>
      <w:r w:rsidRPr="00CA6572">
        <w:rPr>
          <w:sz w:val="24"/>
          <w:szCs w:val="24"/>
        </w:rPr>
        <w:lastRenderedPageBreak/>
        <w:t>detail in the coming paragraph.</w:t>
      </w:r>
      <w:r w:rsidRPr="00CA6572">
        <w:rPr>
          <w:bCs/>
          <w:sz w:val="24"/>
          <w:szCs w:val="24"/>
        </w:rPr>
        <w:t xml:space="preserve"> If PPC is integrated in</w:t>
      </w:r>
      <w:r w:rsidR="00482898">
        <w:rPr>
          <w:bCs/>
          <w:sz w:val="24"/>
          <w:szCs w:val="24"/>
        </w:rPr>
        <w:t>to</w:t>
      </w:r>
      <w:r w:rsidRPr="00CA6572">
        <w:rPr>
          <w:bCs/>
          <w:sz w:val="24"/>
          <w:szCs w:val="24"/>
        </w:rPr>
        <w:t xml:space="preserve"> </w:t>
      </w:r>
      <w:r w:rsidR="00482898">
        <w:rPr>
          <w:bCs/>
          <w:sz w:val="24"/>
          <w:szCs w:val="24"/>
        </w:rPr>
        <w:t xml:space="preserve">the </w:t>
      </w:r>
      <w:r w:rsidRPr="00CA6572">
        <w:rPr>
          <w:bCs/>
          <w:sz w:val="24"/>
          <w:szCs w:val="24"/>
        </w:rPr>
        <w:t xml:space="preserve">Pakistan </w:t>
      </w:r>
      <w:proofErr w:type="spellStart"/>
      <w:r w:rsidRPr="00CA6572">
        <w:rPr>
          <w:bCs/>
          <w:sz w:val="24"/>
          <w:szCs w:val="24"/>
        </w:rPr>
        <w:t>VigiFlow</w:t>
      </w:r>
      <w:proofErr w:type="spellEnd"/>
      <w:r w:rsidRPr="00CA6572">
        <w:rPr>
          <w:bCs/>
          <w:sz w:val="24"/>
          <w:szCs w:val="24"/>
        </w:rPr>
        <w:t xml:space="preserve"> database, the POs at PPC should accordingly enter the report into </w:t>
      </w:r>
      <w:proofErr w:type="spellStart"/>
      <w:r w:rsidRPr="00CA6572">
        <w:rPr>
          <w:bCs/>
          <w:sz w:val="24"/>
          <w:szCs w:val="24"/>
        </w:rPr>
        <w:t>VigiFlow</w:t>
      </w:r>
      <w:proofErr w:type="spellEnd"/>
      <w:r w:rsidRPr="00CA6572">
        <w:rPr>
          <w:bCs/>
          <w:sz w:val="24"/>
          <w:szCs w:val="24"/>
        </w:rPr>
        <w:t xml:space="preserve"> using terminologies such as MedDRA and WHO-Drug and transfer these report</w:t>
      </w:r>
      <w:r w:rsidR="00482898">
        <w:rPr>
          <w:bCs/>
          <w:sz w:val="24"/>
          <w:szCs w:val="24"/>
        </w:rPr>
        <w:t>s</w:t>
      </w:r>
      <w:r w:rsidRPr="00CA6572">
        <w:rPr>
          <w:bCs/>
          <w:sz w:val="24"/>
          <w:szCs w:val="24"/>
        </w:rPr>
        <w:t xml:space="preserve"> as reporting timelines</w:t>
      </w:r>
      <w:r w:rsidR="00482898">
        <w:rPr>
          <w:bCs/>
          <w:sz w:val="24"/>
          <w:szCs w:val="24"/>
        </w:rPr>
        <w:t xml:space="preserve"> provided in the </w:t>
      </w:r>
      <w:hyperlink r:id="rId51" w:history="1">
        <w:r w:rsidR="00482898" w:rsidRPr="00F114E4">
          <w:rPr>
            <w:rStyle w:val="Hyperlink"/>
            <w:bCs/>
            <w:sz w:val="24"/>
            <w:szCs w:val="24"/>
          </w:rPr>
          <w:t>Pharmacovigilance Rules, 2022</w:t>
        </w:r>
      </w:hyperlink>
      <w:r w:rsidRPr="00CA6572">
        <w:rPr>
          <w:bCs/>
          <w:sz w:val="24"/>
          <w:szCs w:val="24"/>
        </w:rPr>
        <w:t xml:space="preserve">. If PPC does not have the logins of </w:t>
      </w:r>
      <w:proofErr w:type="spellStart"/>
      <w:r w:rsidRPr="00CA6572">
        <w:rPr>
          <w:bCs/>
          <w:sz w:val="24"/>
          <w:szCs w:val="24"/>
        </w:rPr>
        <w:t>VigiFlow</w:t>
      </w:r>
      <w:proofErr w:type="spellEnd"/>
      <w:r w:rsidRPr="00CA6572">
        <w:rPr>
          <w:bCs/>
          <w:sz w:val="24"/>
          <w:szCs w:val="24"/>
        </w:rPr>
        <w:t>, the reports should be submitted manually in hard format</w:t>
      </w:r>
      <w:r w:rsidR="00482898">
        <w:rPr>
          <w:bCs/>
          <w:sz w:val="24"/>
          <w:szCs w:val="24"/>
        </w:rPr>
        <w:t xml:space="preserve"> with </w:t>
      </w:r>
      <w:r w:rsidR="00944550">
        <w:rPr>
          <w:bCs/>
          <w:sz w:val="24"/>
          <w:szCs w:val="24"/>
        </w:rPr>
        <w:t xml:space="preserve">the </w:t>
      </w:r>
      <w:r w:rsidR="00482898">
        <w:rPr>
          <w:bCs/>
          <w:sz w:val="24"/>
          <w:szCs w:val="24"/>
        </w:rPr>
        <w:t>consent of NPC, DRAP</w:t>
      </w:r>
      <w:r w:rsidRPr="00CA6572">
        <w:rPr>
          <w:bCs/>
          <w:sz w:val="24"/>
          <w:szCs w:val="24"/>
        </w:rPr>
        <w:t>.</w:t>
      </w:r>
    </w:p>
    <w:p w14:paraId="39779821" w14:textId="6CC17405" w:rsidR="00561FF2" w:rsidRPr="00CA6572" w:rsidRDefault="00561FF2" w:rsidP="00B551AA">
      <w:pPr>
        <w:pStyle w:val="ListParagraph"/>
        <w:numPr>
          <w:ilvl w:val="0"/>
          <w:numId w:val="80"/>
        </w:numPr>
        <w:spacing w:before="120" w:after="120" w:line="360" w:lineRule="auto"/>
        <w:ind w:left="993" w:hanging="446"/>
        <w:contextualSpacing w:val="0"/>
        <w:jc w:val="both"/>
        <w:rPr>
          <w:bCs/>
          <w:sz w:val="24"/>
          <w:szCs w:val="24"/>
          <w:u w:val="single"/>
        </w:rPr>
      </w:pPr>
      <w:r w:rsidRPr="009D37DD">
        <w:rPr>
          <w:bCs/>
          <w:i/>
          <w:iCs/>
          <w:sz w:val="26"/>
          <w:szCs w:val="26"/>
          <w:u w:val="single"/>
        </w:rPr>
        <w:t>Public Health Programme (PHP):</w:t>
      </w:r>
      <w:r w:rsidRPr="009D37DD">
        <w:rPr>
          <w:bCs/>
          <w:sz w:val="26"/>
          <w:szCs w:val="26"/>
        </w:rPr>
        <w:t xml:space="preserve"> </w:t>
      </w:r>
      <w:r w:rsidRPr="00CA6572">
        <w:rPr>
          <w:bCs/>
          <w:sz w:val="24"/>
          <w:szCs w:val="24"/>
        </w:rPr>
        <w:t>PO</w:t>
      </w:r>
      <w:r w:rsidR="00944550">
        <w:rPr>
          <w:bCs/>
          <w:sz w:val="24"/>
          <w:szCs w:val="24"/>
        </w:rPr>
        <w:t>s</w:t>
      </w:r>
      <w:r w:rsidRPr="00CA6572">
        <w:rPr>
          <w:bCs/>
          <w:sz w:val="24"/>
          <w:szCs w:val="24"/>
        </w:rPr>
        <w:t xml:space="preserve"> of PHP working at the treatment site collect the reports and send </w:t>
      </w:r>
      <w:r w:rsidR="00336BDE">
        <w:rPr>
          <w:bCs/>
          <w:sz w:val="24"/>
          <w:szCs w:val="24"/>
        </w:rPr>
        <w:t>these</w:t>
      </w:r>
      <w:r w:rsidRPr="00CA6572">
        <w:rPr>
          <w:bCs/>
          <w:sz w:val="24"/>
          <w:szCs w:val="24"/>
        </w:rPr>
        <w:t xml:space="preserve"> </w:t>
      </w:r>
      <w:r w:rsidR="00336BDE">
        <w:rPr>
          <w:bCs/>
          <w:sz w:val="24"/>
          <w:szCs w:val="24"/>
        </w:rPr>
        <w:t xml:space="preserve">to </w:t>
      </w:r>
      <w:r w:rsidR="00944550">
        <w:rPr>
          <w:bCs/>
          <w:sz w:val="24"/>
          <w:szCs w:val="24"/>
        </w:rPr>
        <w:t xml:space="preserve">the </w:t>
      </w:r>
      <w:r w:rsidRPr="00CA6572">
        <w:rPr>
          <w:bCs/>
          <w:sz w:val="24"/>
          <w:szCs w:val="24"/>
        </w:rPr>
        <w:t>provincial chapter of PHP, which after assessment send</w:t>
      </w:r>
      <w:r w:rsidR="00250138">
        <w:rPr>
          <w:bCs/>
          <w:sz w:val="24"/>
          <w:szCs w:val="24"/>
        </w:rPr>
        <w:t>s</w:t>
      </w:r>
      <w:r w:rsidRPr="00CA6572">
        <w:rPr>
          <w:bCs/>
          <w:sz w:val="24"/>
          <w:szCs w:val="24"/>
        </w:rPr>
        <w:t xml:space="preserve"> these to Federal PHP. </w:t>
      </w:r>
      <w:r w:rsidRPr="00CA6572">
        <w:rPr>
          <w:sz w:val="24"/>
          <w:szCs w:val="24"/>
        </w:rPr>
        <w:t>An Expert Safety Review Panel (ESRP) is constituted at the Federal Level of PHP, which consists of pharmacists, physicians, disease experts and other members it may desire. This panel perform the causality assessment of the collected reports and signal detection of programme</w:t>
      </w:r>
      <w:r w:rsidR="00C866F2">
        <w:rPr>
          <w:sz w:val="24"/>
          <w:szCs w:val="24"/>
        </w:rPr>
        <w:t>-</w:t>
      </w:r>
      <w:r w:rsidRPr="00CA6572">
        <w:rPr>
          <w:sz w:val="24"/>
          <w:szCs w:val="24"/>
        </w:rPr>
        <w:t xml:space="preserve">specific drugs. If PHP is integrated into </w:t>
      </w:r>
      <w:r w:rsidR="005F6D9B">
        <w:rPr>
          <w:sz w:val="24"/>
          <w:szCs w:val="24"/>
        </w:rPr>
        <w:t xml:space="preserve">the </w:t>
      </w:r>
      <w:r w:rsidRPr="00CA6572">
        <w:rPr>
          <w:sz w:val="24"/>
          <w:szCs w:val="24"/>
        </w:rPr>
        <w:t xml:space="preserve">Pakistan </w:t>
      </w:r>
      <w:proofErr w:type="spellStart"/>
      <w:r w:rsidRPr="00CA6572">
        <w:rPr>
          <w:sz w:val="24"/>
          <w:szCs w:val="24"/>
        </w:rPr>
        <w:t>VigiFlow</w:t>
      </w:r>
      <w:proofErr w:type="spellEnd"/>
      <w:r w:rsidRPr="00CA6572">
        <w:rPr>
          <w:sz w:val="24"/>
          <w:szCs w:val="24"/>
        </w:rPr>
        <w:t xml:space="preserve"> database, the data is entered into </w:t>
      </w:r>
      <w:r w:rsidR="00A11CE2">
        <w:rPr>
          <w:sz w:val="24"/>
          <w:szCs w:val="24"/>
        </w:rPr>
        <w:t xml:space="preserve">the </w:t>
      </w:r>
      <w:r w:rsidRPr="00CA6572">
        <w:rPr>
          <w:sz w:val="24"/>
          <w:szCs w:val="24"/>
        </w:rPr>
        <w:t xml:space="preserve">Pakistan </w:t>
      </w:r>
      <w:proofErr w:type="spellStart"/>
      <w:r w:rsidRPr="00CA6572">
        <w:rPr>
          <w:sz w:val="24"/>
          <w:szCs w:val="24"/>
        </w:rPr>
        <w:t>VigiFlow</w:t>
      </w:r>
      <w:proofErr w:type="spellEnd"/>
      <w:r w:rsidRPr="00CA6572">
        <w:rPr>
          <w:sz w:val="24"/>
          <w:szCs w:val="24"/>
        </w:rPr>
        <w:t xml:space="preserve"> database using terminologies. If the PHP is not integrated the reports are manually shared with NPC</w:t>
      </w:r>
      <w:r w:rsidR="00336BDE">
        <w:rPr>
          <w:sz w:val="24"/>
          <w:szCs w:val="24"/>
        </w:rPr>
        <w:t>, DRAP</w:t>
      </w:r>
      <w:r w:rsidRPr="00CA6572">
        <w:rPr>
          <w:sz w:val="24"/>
          <w:szCs w:val="24"/>
        </w:rPr>
        <w:t>.</w:t>
      </w:r>
    </w:p>
    <w:p w14:paraId="6BE55B05" w14:textId="5D8AABC1" w:rsidR="00CF17B0" w:rsidRPr="00AB4D08" w:rsidRDefault="00561FF2" w:rsidP="00B551AA">
      <w:pPr>
        <w:pStyle w:val="ListParagraph"/>
        <w:numPr>
          <w:ilvl w:val="0"/>
          <w:numId w:val="80"/>
        </w:numPr>
        <w:spacing w:before="120" w:after="120" w:line="360" w:lineRule="auto"/>
        <w:ind w:left="993" w:hanging="446"/>
        <w:contextualSpacing w:val="0"/>
        <w:jc w:val="both"/>
        <w:rPr>
          <w:bCs/>
          <w:sz w:val="24"/>
          <w:szCs w:val="24"/>
          <w:u w:val="single"/>
        </w:rPr>
      </w:pPr>
      <w:r w:rsidRPr="009D37DD">
        <w:rPr>
          <w:i/>
          <w:iCs/>
          <w:sz w:val="26"/>
          <w:szCs w:val="26"/>
          <w:u w:val="single"/>
        </w:rPr>
        <w:t>National Pharmacovigilance Centre (NPC):</w:t>
      </w:r>
      <w:r w:rsidRPr="009D37DD">
        <w:rPr>
          <w:sz w:val="26"/>
          <w:szCs w:val="26"/>
        </w:rPr>
        <w:t xml:space="preserve"> </w:t>
      </w:r>
      <w:r w:rsidRPr="00AB4D08">
        <w:rPr>
          <w:sz w:val="24"/>
          <w:szCs w:val="24"/>
        </w:rPr>
        <w:t>NPC collect</w:t>
      </w:r>
      <w:r w:rsidR="008E7E04">
        <w:rPr>
          <w:sz w:val="24"/>
          <w:szCs w:val="24"/>
        </w:rPr>
        <w:t>s</w:t>
      </w:r>
      <w:r w:rsidRPr="00AB4D08">
        <w:rPr>
          <w:sz w:val="24"/>
          <w:szCs w:val="24"/>
        </w:rPr>
        <w:t xml:space="preserve"> ADR/AE</w:t>
      </w:r>
      <w:r w:rsidR="00AB4D08" w:rsidRPr="00AB4D08">
        <w:rPr>
          <w:sz w:val="24"/>
          <w:szCs w:val="24"/>
        </w:rPr>
        <w:t>/AEFI</w:t>
      </w:r>
      <w:r w:rsidRPr="00AB4D08">
        <w:rPr>
          <w:sz w:val="24"/>
          <w:szCs w:val="24"/>
        </w:rPr>
        <w:t xml:space="preserve"> reports from </w:t>
      </w:r>
      <w:r w:rsidR="00AB4D08" w:rsidRPr="00AB4D08">
        <w:rPr>
          <w:sz w:val="24"/>
          <w:szCs w:val="24"/>
        </w:rPr>
        <w:t>patients, healthcare professionals</w:t>
      </w:r>
      <w:r w:rsidRPr="00AB4D08">
        <w:rPr>
          <w:sz w:val="24"/>
          <w:szCs w:val="24"/>
        </w:rPr>
        <w:t>,</w:t>
      </w:r>
      <w:r w:rsidR="00AB4D08" w:rsidRPr="00AB4D08">
        <w:rPr>
          <w:sz w:val="24"/>
          <w:szCs w:val="24"/>
        </w:rPr>
        <w:t xml:space="preserve"> provincial pharmacovigilance centres, public </w:t>
      </w:r>
      <w:r w:rsidRPr="00AB4D08">
        <w:rPr>
          <w:sz w:val="24"/>
          <w:szCs w:val="24"/>
        </w:rPr>
        <w:t xml:space="preserve">health </w:t>
      </w:r>
      <w:r w:rsidR="00AB4D08" w:rsidRPr="00AB4D08">
        <w:rPr>
          <w:sz w:val="24"/>
          <w:szCs w:val="24"/>
        </w:rPr>
        <w:t>programmes</w:t>
      </w:r>
      <w:r w:rsidRPr="00AB4D08">
        <w:rPr>
          <w:sz w:val="24"/>
          <w:szCs w:val="24"/>
        </w:rPr>
        <w:t xml:space="preserve">, and registration holders. </w:t>
      </w:r>
      <w:r w:rsidR="00AB4D08" w:rsidRPr="00AB4D08">
        <w:rPr>
          <w:sz w:val="24"/>
          <w:szCs w:val="24"/>
        </w:rPr>
        <w:t>POs</w:t>
      </w:r>
      <w:r w:rsidRPr="00AB4D08">
        <w:rPr>
          <w:sz w:val="24"/>
          <w:szCs w:val="24"/>
        </w:rPr>
        <w:t xml:space="preserve"> at NPC, at first check the report for mandatory and essentially required information. If the ADR/ AE</w:t>
      </w:r>
      <w:r w:rsidR="00AB4D08" w:rsidRPr="00AB4D08">
        <w:rPr>
          <w:sz w:val="24"/>
          <w:szCs w:val="24"/>
        </w:rPr>
        <w:t>/AEFI</w:t>
      </w:r>
      <w:r w:rsidRPr="00AB4D08">
        <w:rPr>
          <w:sz w:val="24"/>
          <w:szCs w:val="24"/>
        </w:rPr>
        <w:t xml:space="preserve"> have missing mandatory information, the reporter is contacted. The PO</w:t>
      </w:r>
      <w:r w:rsidR="00AB4D08" w:rsidRPr="00AB4D08">
        <w:rPr>
          <w:sz w:val="24"/>
          <w:szCs w:val="24"/>
        </w:rPr>
        <w:t>s</w:t>
      </w:r>
      <w:r w:rsidRPr="00AB4D08">
        <w:rPr>
          <w:sz w:val="24"/>
          <w:szCs w:val="24"/>
        </w:rPr>
        <w:t xml:space="preserve"> also contact the reporter for more information of serious ADR</w:t>
      </w:r>
      <w:r w:rsidR="00AB4D08" w:rsidRPr="00AB4D08">
        <w:rPr>
          <w:sz w:val="24"/>
          <w:szCs w:val="24"/>
        </w:rPr>
        <w:t>s</w:t>
      </w:r>
      <w:r w:rsidRPr="00AB4D08">
        <w:rPr>
          <w:sz w:val="24"/>
          <w:szCs w:val="24"/>
        </w:rPr>
        <w:t>/AE</w:t>
      </w:r>
      <w:r w:rsidR="00AB4D08" w:rsidRPr="00AB4D08">
        <w:rPr>
          <w:sz w:val="24"/>
          <w:szCs w:val="24"/>
        </w:rPr>
        <w:t>s/AEFIs</w:t>
      </w:r>
      <w:r w:rsidRPr="00AB4D08">
        <w:rPr>
          <w:sz w:val="24"/>
          <w:szCs w:val="24"/>
        </w:rPr>
        <w:t xml:space="preserve">. The reports which are received through </w:t>
      </w:r>
      <w:proofErr w:type="spellStart"/>
      <w:r w:rsidRPr="00AB4D08">
        <w:rPr>
          <w:sz w:val="24"/>
          <w:szCs w:val="24"/>
        </w:rPr>
        <w:t>VigiFlow</w:t>
      </w:r>
      <w:proofErr w:type="spellEnd"/>
      <w:r w:rsidRPr="00AB4D08">
        <w:rPr>
          <w:sz w:val="24"/>
          <w:szCs w:val="24"/>
        </w:rPr>
        <w:t xml:space="preserve"> from PPCs, PHPs and via E2B through registration holders are also checked for data quality. Further, the reports which are received online f</w:t>
      </w:r>
      <w:r w:rsidR="008E7E04">
        <w:rPr>
          <w:sz w:val="24"/>
          <w:szCs w:val="24"/>
        </w:rPr>
        <w:t>ro</w:t>
      </w:r>
      <w:r w:rsidRPr="00AB4D08">
        <w:rPr>
          <w:sz w:val="24"/>
          <w:szCs w:val="24"/>
        </w:rPr>
        <w:t>m HCPs and patient</w:t>
      </w:r>
      <w:r w:rsidR="008E7E04">
        <w:rPr>
          <w:sz w:val="24"/>
          <w:szCs w:val="24"/>
        </w:rPr>
        <w:t>s</w:t>
      </w:r>
      <w:r w:rsidRPr="00AB4D08">
        <w:rPr>
          <w:sz w:val="24"/>
          <w:szCs w:val="24"/>
        </w:rPr>
        <w:t xml:space="preserve"> are also properly coded and checked for data quality. The PO</w:t>
      </w:r>
      <w:r w:rsidR="00AB4D08" w:rsidRPr="00AB4D08">
        <w:rPr>
          <w:sz w:val="24"/>
          <w:szCs w:val="24"/>
        </w:rPr>
        <w:t>s</w:t>
      </w:r>
      <w:r w:rsidRPr="00AB4D08">
        <w:rPr>
          <w:sz w:val="24"/>
          <w:szCs w:val="24"/>
        </w:rPr>
        <w:t xml:space="preserve"> at NPC also enter the report into </w:t>
      </w:r>
      <w:proofErr w:type="spellStart"/>
      <w:r w:rsidRPr="00AB4D08">
        <w:rPr>
          <w:sz w:val="24"/>
          <w:szCs w:val="24"/>
        </w:rPr>
        <w:t>VigiFlow</w:t>
      </w:r>
      <w:proofErr w:type="spellEnd"/>
      <w:r w:rsidRPr="00AB4D08">
        <w:rPr>
          <w:sz w:val="24"/>
          <w:szCs w:val="24"/>
        </w:rPr>
        <w:t xml:space="preserve"> using terminologies if the report is received in hard format from the reporter.  The causality assessment group</w:t>
      </w:r>
      <w:r w:rsidR="00AB4D08" w:rsidRPr="00AB4D08">
        <w:rPr>
          <w:sz w:val="24"/>
          <w:szCs w:val="24"/>
        </w:rPr>
        <w:t>s</w:t>
      </w:r>
      <w:r w:rsidRPr="00AB4D08">
        <w:rPr>
          <w:sz w:val="24"/>
          <w:szCs w:val="24"/>
        </w:rPr>
        <w:t xml:space="preserve"> at NPC either perform the casualty assessment of new reports or review the causality assessment of those reports </w:t>
      </w:r>
      <w:r w:rsidR="008E7E04">
        <w:rPr>
          <w:sz w:val="24"/>
          <w:szCs w:val="24"/>
        </w:rPr>
        <w:t xml:space="preserve">of </w:t>
      </w:r>
      <w:r w:rsidRPr="00AB4D08">
        <w:rPr>
          <w:sz w:val="24"/>
          <w:szCs w:val="24"/>
        </w:rPr>
        <w:t xml:space="preserve">which assessment has already been done at </w:t>
      </w:r>
      <w:r w:rsidR="008E7E04">
        <w:rPr>
          <w:sz w:val="24"/>
          <w:szCs w:val="24"/>
        </w:rPr>
        <w:t xml:space="preserve">the </w:t>
      </w:r>
      <w:r w:rsidRPr="00AB4D08">
        <w:rPr>
          <w:sz w:val="24"/>
          <w:szCs w:val="24"/>
        </w:rPr>
        <w:t>hospital, PPC or PHP level. In other words, NPC perform</w:t>
      </w:r>
      <w:r w:rsidR="008E7E04">
        <w:rPr>
          <w:sz w:val="24"/>
          <w:szCs w:val="24"/>
        </w:rPr>
        <w:t>s</w:t>
      </w:r>
      <w:r w:rsidRPr="00AB4D08">
        <w:rPr>
          <w:sz w:val="24"/>
          <w:szCs w:val="24"/>
        </w:rPr>
        <w:t xml:space="preserve"> </w:t>
      </w:r>
      <w:r w:rsidR="008E7E04">
        <w:rPr>
          <w:sz w:val="24"/>
          <w:szCs w:val="24"/>
        </w:rPr>
        <w:t xml:space="preserve">a </w:t>
      </w:r>
      <w:r w:rsidRPr="00AB4D08">
        <w:rPr>
          <w:sz w:val="24"/>
          <w:szCs w:val="24"/>
        </w:rPr>
        <w:t xml:space="preserve">complete assessment of individual reports that will be discussed in detail in the coming </w:t>
      </w:r>
      <w:r w:rsidR="00AB4D08" w:rsidRPr="00AB4D08">
        <w:rPr>
          <w:sz w:val="24"/>
          <w:szCs w:val="24"/>
        </w:rPr>
        <w:t>chapters</w:t>
      </w:r>
      <w:r w:rsidRPr="00AB4D08">
        <w:rPr>
          <w:sz w:val="24"/>
          <w:szCs w:val="24"/>
        </w:rPr>
        <w:t xml:space="preserve">. The database is checked for new signals by </w:t>
      </w:r>
      <w:r w:rsidR="008E7E04">
        <w:rPr>
          <w:sz w:val="24"/>
          <w:szCs w:val="24"/>
        </w:rPr>
        <w:t xml:space="preserve">the </w:t>
      </w:r>
      <w:r w:rsidRPr="00AB4D08">
        <w:rPr>
          <w:sz w:val="24"/>
          <w:szCs w:val="24"/>
        </w:rPr>
        <w:t>signal review group</w:t>
      </w:r>
      <w:r w:rsidR="00AB4D08" w:rsidRPr="00AB4D08">
        <w:rPr>
          <w:sz w:val="24"/>
          <w:szCs w:val="24"/>
        </w:rPr>
        <w:t>s</w:t>
      </w:r>
      <w:r w:rsidRPr="00AB4D08">
        <w:rPr>
          <w:sz w:val="24"/>
          <w:szCs w:val="24"/>
        </w:rPr>
        <w:t xml:space="preserve"> and the case is presented in the </w:t>
      </w:r>
      <w:proofErr w:type="spellStart"/>
      <w:r w:rsidR="008E7E04">
        <w:rPr>
          <w:sz w:val="24"/>
          <w:szCs w:val="24"/>
        </w:rPr>
        <w:t>forth</w:t>
      </w:r>
      <w:proofErr w:type="spellEnd"/>
      <w:r w:rsidR="008E7E04">
        <w:rPr>
          <w:sz w:val="24"/>
          <w:szCs w:val="24"/>
        </w:rPr>
        <w:t xml:space="preserve"> coming </w:t>
      </w:r>
      <w:r w:rsidRPr="00AB4D08">
        <w:rPr>
          <w:sz w:val="24"/>
          <w:szCs w:val="24"/>
        </w:rPr>
        <w:t xml:space="preserve">meeting of PRAEC for its recommendation and final assessment of reports. The individual case safety report in </w:t>
      </w:r>
      <w:r w:rsidR="008E7E04">
        <w:rPr>
          <w:sz w:val="24"/>
          <w:szCs w:val="24"/>
        </w:rPr>
        <w:lastRenderedPageBreak/>
        <w:t xml:space="preserve">the </w:t>
      </w:r>
      <w:r w:rsidRPr="00AB4D08">
        <w:rPr>
          <w:sz w:val="24"/>
          <w:szCs w:val="24"/>
        </w:rPr>
        <w:t xml:space="preserve">Pakistan </w:t>
      </w:r>
      <w:proofErr w:type="spellStart"/>
      <w:r w:rsidRPr="00AB4D08">
        <w:rPr>
          <w:sz w:val="24"/>
          <w:szCs w:val="24"/>
        </w:rPr>
        <w:t>VigiFlow</w:t>
      </w:r>
      <w:proofErr w:type="spellEnd"/>
      <w:r w:rsidRPr="00AB4D08">
        <w:rPr>
          <w:sz w:val="24"/>
          <w:szCs w:val="24"/>
        </w:rPr>
        <w:t xml:space="preserve"> database are accordingly transferred to </w:t>
      </w:r>
      <w:r w:rsidR="008E7E04">
        <w:rPr>
          <w:sz w:val="24"/>
          <w:szCs w:val="24"/>
        </w:rPr>
        <w:t xml:space="preserve">the </w:t>
      </w:r>
      <w:proofErr w:type="spellStart"/>
      <w:r w:rsidRPr="00AB4D08">
        <w:rPr>
          <w:sz w:val="24"/>
          <w:szCs w:val="24"/>
        </w:rPr>
        <w:t>VigiBase</w:t>
      </w:r>
      <w:proofErr w:type="spellEnd"/>
      <w:r w:rsidRPr="00AB4D08">
        <w:rPr>
          <w:sz w:val="24"/>
          <w:szCs w:val="24"/>
        </w:rPr>
        <w:t xml:space="preserve"> database of WHO-UMC.</w:t>
      </w:r>
      <w:r w:rsidR="00AB4D08" w:rsidRPr="00AB4D08">
        <w:rPr>
          <w:sz w:val="24"/>
          <w:szCs w:val="24"/>
        </w:rPr>
        <w:t xml:space="preserve"> </w:t>
      </w:r>
      <w:r w:rsidR="006D78ED" w:rsidRPr="00AB4D08">
        <w:rPr>
          <w:sz w:val="24"/>
          <w:szCs w:val="24"/>
        </w:rPr>
        <w:t>After evaluation</w:t>
      </w:r>
      <w:r w:rsidR="00127B97" w:rsidRPr="00AB4D08">
        <w:rPr>
          <w:sz w:val="24"/>
          <w:szCs w:val="24"/>
        </w:rPr>
        <w:t xml:space="preserve"> of</w:t>
      </w:r>
      <w:r w:rsidR="006D78ED" w:rsidRPr="00AB4D08">
        <w:rPr>
          <w:sz w:val="24"/>
          <w:szCs w:val="24"/>
        </w:rPr>
        <w:t xml:space="preserve"> the safety signals</w:t>
      </w:r>
      <w:r w:rsidR="00AB4D08" w:rsidRPr="00AB4D08">
        <w:rPr>
          <w:sz w:val="24"/>
          <w:szCs w:val="24"/>
        </w:rPr>
        <w:t xml:space="preserve"> by PRAEC, the </w:t>
      </w:r>
      <w:r w:rsidR="006D78ED" w:rsidRPr="00AB4D08">
        <w:rPr>
          <w:sz w:val="24"/>
          <w:szCs w:val="24"/>
        </w:rPr>
        <w:t>NPC, DRAP may issue</w:t>
      </w:r>
      <w:r w:rsidR="004E6C15" w:rsidRPr="00AB4D08">
        <w:rPr>
          <w:sz w:val="24"/>
          <w:szCs w:val="24"/>
        </w:rPr>
        <w:t>:</w:t>
      </w:r>
    </w:p>
    <w:p w14:paraId="55249437" w14:textId="6E5A7021" w:rsidR="004E6C15" w:rsidRPr="00AB4D08" w:rsidRDefault="00A774EC" w:rsidP="00B551AA">
      <w:pPr>
        <w:pStyle w:val="ListParagraph"/>
        <w:numPr>
          <w:ilvl w:val="0"/>
          <w:numId w:val="81"/>
        </w:numPr>
        <w:spacing w:before="120" w:after="120" w:line="360" w:lineRule="auto"/>
        <w:ind w:left="1886"/>
        <w:contextualSpacing w:val="0"/>
        <w:rPr>
          <w:b/>
          <w:sz w:val="24"/>
          <w:szCs w:val="24"/>
        </w:rPr>
      </w:pPr>
      <w:r w:rsidRPr="00AB4D08">
        <w:rPr>
          <w:bCs/>
          <w:sz w:val="24"/>
          <w:szCs w:val="24"/>
        </w:rPr>
        <w:t>New</w:t>
      </w:r>
      <w:r w:rsidRPr="00AB4D08">
        <w:rPr>
          <w:sz w:val="24"/>
          <w:szCs w:val="24"/>
        </w:rPr>
        <w:t xml:space="preserve"> </w:t>
      </w:r>
      <w:r w:rsidR="006D78ED" w:rsidRPr="00AB4D08">
        <w:rPr>
          <w:sz w:val="24"/>
          <w:szCs w:val="24"/>
        </w:rPr>
        <w:t xml:space="preserve">warning/ contraindication, </w:t>
      </w:r>
    </w:p>
    <w:p w14:paraId="5D43F60B" w14:textId="45C519A6" w:rsidR="004E6C15" w:rsidRPr="00AB4D08" w:rsidRDefault="00A774EC" w:rsidP="00B551AA">
      <w:pPr>
        <w:pStyle w:val="ListParagraph"/>
        <w:numPr>
          <w:ilvl w:val="0"/>
          <w:numId w:val="81"/>
        </w:numPr>
        <w:spacing w:before="120" w:after="120" w:line="360" w:lineRule="auto"/>
        <w:ind w:left="1886"/>
        <w:contextualSpacing w:val="0"/>
        <w:rPr>
          <w:b/>
          <w:bCs/>
          <w:sz w:val="24"/>
          <w:szCs w:val="24"/>
        </w:rPr>
      </w:pPr>
      <w:r w:rsidRPr="00AB4D08">
        <w:rPr>
          <w:bCs/>
          <w:sz w:val="24"/>
          <w:szCs w:val="24"/>
        </w:rPr>
        <w:t xml:space="preserve">Remove </w:t>
      </w:r>
      <w:r w:rsidR="006D78ED" w:rsidRPr="00AB4D08">
        <w:rPr>
          <w:bCs/>
          <w:sz w:val="24"/>
          <w:szCs w:val="24"/>
        </w:rPr>
        <w:t>indication of therapeutic goods for specific disease</w:t>
      </w:r>
      <w:r w:rsidR="009451CF" w:rsidRPr="00AB4D08">
        <w:rPr>
          <w:bCs/>
          <w:sz w:val="24"/>
          <w:szCs w:val="24"/>
        </w:rPr>
        <w:t>s</w:t>
      </w:r>
      <w:r w:rsidR="006D78ED" w:rsidRPr="00AB4D08">
        <w:rPr>
          <w:bCs/>
          <w:sz w:val="24"/>
          <w:szCs w:val="24"/>
        </w:rPr>
        <w:t xml:space="preserve"> or age groups, </w:t>
      </w:r>
    </w:p>
    <w:p w14:paraId="072E2D74" w14:textId="4EEAFD73" w:rsidR="004E6C15" w:rsidRPr="00AB4D08" w:rsidRDefault="00A774EC" w:rsidP="00B551AA">
      <w:pPr>
        <w:pStyle w:val="ListParagraph"/>
        <w:numPr>
          <w:ilvl w:val="0"/>
          <w:numId w:val="81"/>
        </w:numPr>
        <w:spacing w:before="120" w:after="120" w:line="360" w:lineRule="auto"/>
        <w:ind w:left="1886"/>
        <w:contextualSpacing w:val="0"/>
        <w:rPr>
          <w:b/>
          <w:bCs/>
          <w:sz w:val="24"/>
          <w:szCs w:val="24"/>
        </w:rPr>
      </w:pPr>
      <w:r w:rsidRPr="00AB4D08">
        <w:rPr>
          <w:bCs/>
          <w:sz w:val="24"/>
          <w:szCs w:val="24"/>
        </w:rPr>
        <w:t>A</w:t>
      </w:r>
      <w:r w:rsidR="006D78ED" w:rsidRPr="00AB4D08">
        <w:rPr>
          <w:bCs/>
          <w:sz w:val="24"/>
          <w:szCs w:val="24"/>
        </w:rPr>
        <w:t>dvi</w:t>
      </w:r>
      <w:r w:rsidRPr="00AB4D08">
        <w:rPr>
          <w:bCs/>
          <w:sz w:val="24"/>
          <w:szCs w:val="24"/>
        </w:rPr>
        <w:t>c</w:t>
      </w:r>
      <w:r w:rsidR="006D78ED" w:rsidRPr="00AB4D08">
        <w:rPr>
          <w:bCs/>
          <w:sz w:val="24"/>
          <w:szCs w:val="24"/>
        </w:rPr>
        <w:t xml:space="preserve">e on how the therapeutic good should be used, </w:t>
      </w:r>
      <w:r w:rsidRPr="00AB4D08">
        <w:rPr>
          <w:bCs/>
          <w:sz w:val="24"/>
          <w:szCs w:val="24"/>
        </w:rPr>
        <w:t>or</w:t>
      </w:r>
    </w:p>
    <w:p w14:paraId="38CA3F29" w14:textId="526C4A31" w:rsidR="004E6C15" w:rsidRPr="00AB4D08" w:rsidRDefault="00A774EC" w:rsidP="00B551AA">
      <w:pPr>
        <w:pStyle w:val="ListParagraph"/>
        <w:numPr>
          <w:ilvl w:val="0"/>
          <w:numId w:val="81"/>
        </w:numPr>
        <w:spacing w:before="120" w:after="120" w:line="360" w:lineRule="auto"/>
        <w:ind w:left="1886"/>
        <w:contextualSpacing w:val="0"/>
        <w:rPr>
          <w:b/>
          <w:bCs/>
          <w:sz w:val="24"/>
          <w:szCs w:val="24"/>
        </w:rPr>
      </w:pPr>
      <w:r w:rsidRPr="00AB4D08">
        <w:rPr>
          <w:bCs/>
          <w:sz w:val="24"/>
          <w:szCs w:val="24"/>
        </w:rPr>
        <w:t xml:space="preserve">In </w:t>
      </w:r>
      <w:r w:rsidR="006D78ED" w:rsidRPr="00AB4D08">
        <w:rPr>
          <w:bCs/>
          <w:sz w:val="24"/>
          <w:szCs w:val="24"/>
        </w:rPr>
        <w:t xml:space="preserve">some </w:t>
      </w:r>
      <w:proofErr w:type="gramStart"/>
      <w:r w:rsidR="006D78ED" w:rsidRPr="00AB4D08">
        <w:rPr>
          <w:bCs/>
          <w:sz w:val="24"/>
          <w:szCs w:val="24"/>
        </w:rPr>
        <w:t>cases</w:t>
      </w:r>
      <w:proofErr w:type="gramEnd"/>
      <w:r w:rsidR="006D78ED" w:rsidRPr="00AB4D08">
        <w:rPr>
          <w:bCs/>
          <w:sz w:val="24"/>
          <w:szCs w:val="24"/>
        </w:rPr>
        <w:t xml:space="preserve"> even stop the use of therapeutic goods. </w:t>
      </w:r>
    </w:p>
    <w:p w14:paraId="3E64BF26" w14:textId="2709A541" w:rsidR="009723E2" w:rsidRPr="005337CD" w:rsidRDefault="006D78ED" w:rsidP="00B551AA">
      <w:pPr>
        <w:pStyle w:val="ListParagraph"/>
        <w:numPr>
          <w:ilvl w:val="0"/>
          <w:numId w:val="81"/>
        </w:numPr>
        <w:spacing w:before="120" w:after="120" w:line="360" w:lineRule="auto"/>
        <w:ind w:left="1886"/>
        <w:contextualSpacing w:val="0"/>
        <w:rPr>
          <w:sz w:val="24"/>
          <w:szCs w:val="24"/>
        </w:rPr>
      </w:pPr>
      <w:r w:rsidRPr="00AB4D08">
        <w:rPr>
          <w:sz w:val="24"/>
          <w:szCs w:val="24"/>
        </w:rPr>
        <w:t xml:space="preserve">Overall, the processing at NPC, DRAP is to monitor the safety of therapeutic goods in order to optimize the use of therapeutic goods with minimum harm </w:t>
      </w:r>
      <w:r w:rsidR="004E6C15" w:rsidRPr="00AB4D08">
        <w:rPr>
          <w:sz w:val="24"/>
          <w:szCs w:val="24"/>
        </w:rPr>
        <w:t>to</w:t>
      </w:r>
      <w:r w:rsidRPr="00AB4D08">
        <w:rPr>
          <w:sz w:val="24"/>
          <w:szCs w:val="24"/>
        </w:rPr>
        <w:t xml:space="preserve"> the patient.</w:t>
      </w:r>
    </w:p>
    <w:p w14:paraId="22C7B4D2" w14:textId="77777777" w:rsidR="00373354" w:rsidRPr="00FD600E" w:rsidRDefault="00373354" w:rsidP="00C04713">
      <w:pPr>
        <w:tabs>
          <w:tab w:val="left" w:pos="450"/>
        </w:tabs>
        <w:spacing w:before="120" w:after="120" w:line="360" w:lineRule="auto"/>
        <w:jc w:val="both"/>
        <w:rPr>
          <w:b/>
          <w:bCs/>
          <w:sz w:val="28"/>
          <w:szCs w:val="28"/>
        </w:rPr>
      </w:pPr>
      <w:r w:rsidRPr="00FD600E">
        <w:rPr>
          <w:b/>
          <w:bCs/>
          <w:sz w:val="28"/>
          <w:szCs w:val="28"/>
        </w:rPr>
        <w:t>4.7</w:t>
      </w:r>
      <w:r w:rsidRPr="00FD600E">
        <w:rPr>
          <w:b/>
          <w:bCs/>
          <w:sz w:val="28"/>
          <w:szCs w:val="28"/>
        </w:rPr>
        <w:tab/>
      </w:r>
      <w:r w:rsidRPr="00162F30">
        <w:rPr>
          <w:b/>
          <w:bCs/>
          <w:sz w:val="28"/>
          <w:szCs w:val="28"/>
          <w:u w:val="single"/>
        </w:rPr>
        <w:t>Assessment of Individual Case Safety Reports (ICSRs):</w:t>
      </w:r>
    </w:p>
    <w:p w14:paraId="6270A125" w14:textId="3368B126" w:rsidR="00373354" w:rsidRPr="002F4D53" w:rsidRDefault="00373354" w:rsidP="00C04713">
      <w:pPr>
        <w:spacing w:before="120" w:after="120" w:line="360" w:lineRule="auto"/>
        <w:jc w:val="both"/>
        <w:rPr>
          <w:color w:val="000000" w:themeColor="text1"/>
          <w:sz w:val="24"/>
          <w:szCs w:val="24"/>
        </w:rPr>
      </w:pPr>
      <w:r w:rsidRPr="002F4D53">
        <w:rPr>
          <w:color w:val="000000" w:themeColor="text1"/>
          <w:sz w:val="24"/>
          <w:szCs w:val="24"/>
        </w:rPr>
        <w:t>The assessment of adverse reaction case reports needs combined expertise in clinical</w:t>
      </w:r>
      <w:r w:rsidRPr="002F4D53">
        <w:rPr>
          <w:color w:val="000000" w:themeColor="text1"/>
          <w:sz w:val="24"/>
          <w:szCs w:val="24"/>
        </w:rPr>
        <w:br/>
        <w:t>medicine, pharmacology and toxicology, and epidemiology. This expertise can be</w:t>
      </w:r>
      <w:r w:rsidRPr="002F4D53">
        <w:rPr>
          <w:color w:val="000000" w:themeColor="text1"/>
          <w:sz w:val="24"/>
          <w:szCs w:val="24"/>
        </w:rPr>
        <w:br/>
        <w:t xml:space="preserve">developed by training the staff </w:t>
      </w:r>
      <w:r w:rsidR="00434ACA" w:rsidRPr="002F4D53">
        <w:rPr>
          <w:color w:val="000000" w:themeColor="text1"/>
          <w:sz w:val="24"/>
          <w:szCs w:val="24"/>
        </w:rPr>
        <w:t xml:space="preserve">of the centre </w:t>
      </w:r>
      <w:r w:rsidRPr="002F4D53">
        <w:rPr>
          <w:color w:val="000000" w:themeColor="text1"/>
          <w:sz w:val="24"/>
          <w:szCs w:val="24"/>
        </w:rPr>
        <w:t>and by us</w:t>
      </w:r>
      <w:r w:rsidR="00434ACA" w:rsidRPr="002F4D53">
        <w:rPr>
          <w:color w:val="000000" w:themeColor="text1"/>
          <w:sz w:val="24"/>
          <w:szCs w:val="24"/>
        </w:rPr>
        <w:t xml:space="preserve">ing the services of </w:t>
      </w:r>
      <w:r w:rsidRPr="002F4D53">
        <w:rPr>
          <w:color w:val="000000" w:themeColor="text1"/>
          <w:sz w:val="24"/>
          <w:szCs w:val="24"/>
        </w:rPr>
        <w:t>consultants. In the</w:t>
      </w:r>
      <w:r w:rsidRPr="002F4D53">
        <w:rPr>
          <w:color w:val="000000" w:themeColor="text1"/>
          <w:sz w:val="24"/>
          <w:szCs w:val="24"/>
        </w:rPr>
        <w:br/>
        <w:t>assessment of case reports the following elements can be recognised:</w:t>
      </w:r>
    </w:p>
    <w:p w14:paraId="15E305E0" w14:textId="77777777" w:rsidR="00373354" w:rsidRPr="002F4D53" w:rsidRDefault="00373354" w:rsidP="00B551AA">
      <w:pPr>
        <w:pStyle w:val="ListParagraph"/>
        <w:numPr>
          <w:ilvl w:val="0"/>
          <w:numId w:val="78"/>
        </w:numPr>
        <w:tabs>
          <w:tab w:val="left" w:pos="270"/>
          <w:tab w:val="left" w:pos="450"/>
        </w:tabs>
        <w:spacing w:before="120" w:after="120" w:line="360" w:lineRule="auto"/>
        <w:contextualSpacing w:val="0"/>
        <w:jc w:val="both"/>
        <w:rPr>
          <w:color w:val="000000" w:themeColor="text1"/>
          <w:sz w:val="24"/>
          <w:szCs w:val="24"/>
        </w:rPr>
      </w:pPr>
      <w:r w:rsidRPr="002F4D53">
        <w:rPr>
          <w:b/>
          <w:bCs/>
          <w:i/>
          <w:iCs/>
          <w:color w:val="000000" w:themeColor="text1"/>
          <w:sz w:val="24"/>
          <w:szCs w:val="24"/>
        </w:rPr>
        <w:t>Quality of documentation:</w:t>
      </w:r>
      <w:r w:rsidRPr="002F4D53">
        <w:rPr>
          <w:bCs/>
          <w:iCs/>
          <w:color w:val="000000" w:themeColor="text1"/>
          <w:sz w:val="24"/>
          <w:szCs w:val="24"/>
        </w:rPr>
        <w:t xml:space="preserve"> </w:t>
      </w:r>
      <w:r w:rsidRPr="002F4D53">
        <w:rPr>
          <w:color w:val="000000" w:themeColor="text1"/>
          <w:sz w:val="24"/>
          <w:szCs w:val="24"/>
        </w:rPr>
        <w:t>e.g. completeness and integrity of data, quality of</w:t>
      </w:r>
      <w:r w:rsidRPr="002F4D53">
        <w:rPr>
          <w:color w:val="000000" w:themeColor="text1"/>
          <w:sz w:val="24"/>
          <w:szCs w:val="24"/>
        </w:rPr>
        <w:br/>
        <w:t>diagnosis and follow-up.</w:t>
      </w:r>
    </w:p>
    <w:p w14:paraId="41651866" w14:textId="77777777" w:rsidR="00373354" w:rsidRPr="002F4D53" w:rsidRDefault="00373354" w:rsidP="00B551AA">
      <w:pPr>
        <w:pStyle w:val="ListParagraph"/>
        <w:numPr>
          <w:ilvl w:val="0"/>
          <w:numId w:val="78"/>
        </w:numPr>
        <w:tabs>
          <w:tab w:val="left" w:pos="270"/>
          <w:tab w:val="left" w:pos="450"/>
        </w:tabs>
        <w:spacing w:before="120" w:after="120" w:line="360" w:lineRule="auto"/>
        <w:contextualSpacing w:val="0"/>
        <w:jc w:val="both"/>
        <w:rPr>
          <w:color w:val="000000" w:themeColor="text1"/>
          <w:sz w:val="24"/>
          <w:szCs w:val="24"/>
        </w:rPr>
      </w:pPr>
      <w:r w:rsidRPr="002F4D53">
        <w:rPr>
          <w:b/>
          <w:bCs/>
          <w:i/>
          <w:iCs/>
          <w:color w:val="000000" w:themeColor="text1"/>
          <w:sz w:val="24"/>
          <w:szCs w:val="24"/>
        </w:rPr>
        <w:t>Coding</w:t>
      </w:r>
      <w:r w:rsidRPr="002F4D53">
        <w:rPr>
          <w:bCs/>
          <w:iCs/>
          <w:color w:val="000000" w:themeColor="text1"/>
          <w:sz w:val="24"/>
          <w:szCs w:val="24"/>
        </w:rPr>
        <w:t xml:space="preserve">. </w:t>
      </w:r>
      <w:r w:rsidRPr="002F4D53">
        <w:rPr>
          <w:color w:val="000000" w:themeColor="text1"/>
          <w:sz w:val="24"/>
          <w:szCs w:val="24"/>
        </w:rPr>
        <w:t>Drug names should be registered in a systematic way, for example by using</w:t>
      </w:r>
      <w:r w:rsidRPr="002F4D53">
        <w:rPr>
          <w:color w:val="000000" w:themeColor="text1"/>
          <w:sz w:val="24"/>
          <w:szCs w:val="24"/>
        </w:rPr>
        <w:br/>
        <w:t>the WHO Drug Dictionary (which is based on the INN nomenclature and the ATC</w:t>
      </w:r>
      <w:r w:rsidRPr="002F4D53">
        <w:rPr>
          <w:color w:val="000000" w:themeColor="text1"/>
          <w:sz w:val="24"/>
          <w:szCs w:val="24"/>
        </w:rPr>
        <w:br/>
        <w:t xml:space="preserve">classification). For the coding of the adverse events the recognised terminology (e.g. </w:t>
      </w:r>
      <w:r w:rsidRPr="002F4D53">
        <w:rPr>
          <w:color w:val="000000" w:themeColor="text1"/>
          <w:sz w:val="24"/>
          <w:szCs w:val="24"/>
        </w:rPr>
        <w:br/>
        <w:t>MedDRA) should be used.</w:t>
      </w:r>
    </w:p>
    <w:p w14:paraId="5E65D978" w14:textId="77777777" w:rsidR="00373354" w:rsidRPr="002F4D53" w:rsidRDefault="00373354" w:rsidP="00B551AA">
      <w:pPr>
        <w:pStyle w:val="ListParagraph"/>
        <w:numPr>
          <w:ilvl w:val="0"/>
          <w:numId w:val="78"/>
        </w:numPr>
        <w:tabs>
          <w:tab w:val="left" w:pos="270"/>
          <w:tab w:val="left" w:pos="450"/>
        </w:tabs>
        <w:spacing w:before="120" w:after="120" w:line="360" w:lineRule="auto"/>
        <w:contextualSpacing w:val="0"/>
        <w:jc w:val="both"/>
        <w:rPr>
          <w:color w:val="000000" w:themeColor="text1"/>
          <w:sz w:val="24"/>
          <w:szCs w:val="24"/>
        </w:rPr>
      </w:pPr>
      <w:r w:rsidRPr="002F4D53">
        <w:rPr>
          <w:b/>
          <w:bCs/>
          <w:i/>
          <w:iCs/>
          <w:color w:val="000000" w:themeColor="text1"/>
          <w:sz w:val="24"/>
          <w:szCs w:val="24"/>
        </w:rPr>
        <w:t>Relevance:</w:t>
      </w:r>
      <w:r w:rsidRPr="002F4D53">
        <w:rPr>
          <w:bCs/>
          <w:iCs/>
          <w:color w:val="000000" w:themeColor="text1"/>
          <w:sz w:val="24"/>
          <w:szCs w:val="24"/>
        </w:rPr>
        <w:t xml:space="preserve"> </w:t>
      </w:r>
      <w:r w:rsidRPr="002F4D53">
        <w:rPr>
          <w:color w:val="000000" w:themeColor="text1"/>
          <w:sz w:val="24"/>
          <w:szCs w:val="24"/>
        </w:rPr>
        <w:t>with regard to the detection of new reactions, drug regulation, or scientific</w:t>
      </w:r>
      <w:r w:rsidRPr="002F4D53">
        <w:rPr>
          <w:color w:val="000000" w:themeColor="text1"/>
          <w:sz w:val="24"/>
          <w:szCs w:val="24"/>
        </w:rPr>
        <w:br/>
        <w:t>or educational value. The following questions especially may be asked:</w:t>
      </w:r>
    </w:p>
    <w:p w14:paraId="0454B753" w14:textId="5260D5CC" w:rsidR="00373354" w:rsidRPr="002F4D53" w:rsidRDefault="00373354" w:rsidP="00B551AA">
      <w:pPr>
        <w:pStyle w:val="ListParagraph"/>
        <w:widowControl/>
        <w:numPr>
          <w:ilvl w:val="0"/>
          <w:numId w:val="77"/>
        </w:numPr>
        <w:spacing w:before="120" w:after="120" w:line="360" w:lineRule="auto"/>
        <w:contextualSpacing w:val="0"/>
        <w:jc w:val="both"/>
        <w:rPr>
          <w:color w:val="000000" w:themeColor="text1"/>
          <w:sz w:val="24"/>
          <w:szCs w:val="24"/>
        </w:rPr>
      </w:pPr>
      <w:r w:rsidRPr="002F4D53">
        <w:rPr>
          <w:bCs/>
          <w:iCs/>
          <w:color w:val="000000" w:themeColor="text1"/>
          <w:sz w:val="24"/>
          <w:szCs w:val="24"/>
          <w:u w:val="single"/>
        </w:rPr>
        <w:t>New drug:</w:t>
      </w:r>
      <w:r w:rsidRPr="002F4D53">
        <w:rPr>
          <w:bCs/>
          <w:iCs/>
          <w:color w:val="000000" w:themeColor="text1"/>
          <w:sz w:val="24"/>
          <w:szCs w:val="24"/>
        </w:rPr>
        <w:t xml:space="preserve"> </w:t>
      </w:r>
      <w:r w:rsidRPr="002F4D53">
        <w:rPr>
          <w:color w:val="000000" w:themeColor="text1"/>
          <w:sz w:val="24"/>
          <w:szCs w:val="24"/>
        </w:rPr>
        <w:t xml:space="preserve">Products on the market </w:t>
      </w:r>
      <w:r w:rsidR="001132D4">
        <w:rPr>
          <w:color w:val="000000" w:themeColor="text1"/>
          <w:sz w:val="24"/>
          <w:szCs w:val="24"/>
        </w:rPr>
        <w:t xml:space="preserve">for </w:t>
      </w:r>
      <w:r w:rsidRPr="002F4D53">
        <w:rPr>
          <w:color w:val="000000" w:themeColor="text1"/>
          <w:sz w:val="24"/>
          <w:szCs w:val="24"/>
        </w:rPr>
        <w:t>less than five years are usually considered new drugs.</w:t>
      </w:r>
    </w:p>
    <w:p w14:paraId="41099FC1" w14:textId="77777777" w:rsidR="00373354" w:rsidRPr="002F4D53" w:rsidRDefault="00373354" w:rsidP="00B551AA">
      <w:pPr>
        <w:pStyle w:val="ListParagraph"/>
        <w:widowControl/>
        <w:numPr>
          <w:ilvl w:val="0"/>
          <w:numId w:val="77"/>
        </w:numPr>
        <w:spacing w:before="120" w:after="120" w:line="360" w:lineRule="auto"/>
        <w:contextualSpacing w:val="0"/>
        <w:jc w:val="both"/>
        <w:rPr>
          <w:color w:val="000000" w:themeColor="text1"/>
          <w:sz w:val="24"/>
          <w:szCs w:val="24"/>
        </w:rPr>
      </w:pPr>
      <w:r w:rsidRPr="002F4D53">
        <w:rPr>
          <w:bCs/>
          <w:iCs/>
          <w:color w:val="000000" w:themeColor="text1"/>
          <w:sz w:val="24"/>
          <w:szCs w:val="24"/>
          <w:u w:val="single"/>
        </w:rPr>
        <w:t>Unknown reaction:</w:t>
      </w:r>
      <w:r w:rsidRPr="002F4D53">
        <w:rPr>
          <w:bCs/>
          <w:iCs/>
          <w:color w:val="000000" w:themeColor="text1"/>
          <w:sz w:val="24"/>
          <w:szCs w:val="24"/>
        </w:rPr>
        <w:t xml:space="preserve"> The reaction which is not listed/included in safety specification/prescribing information/package inserts/ SmPC of the drugs.</w:t>
      </w:r>
    </w:p>
    <w:p w14:paraId="29427639" w14:textId="77678A27" w:rsidR="00373354" w:rsidRPr="002F4D53" w:rsidRDefault="00373354" w:rsidP="00B551AA">
      <w:pPr>
        <w:pStyle w:val="ListParagraph"/>
        <w:widowControl/>
        <w:numPr>
          <w:ilvl w:val="0"/>
          <w:numId w:val="77"/>
        </w:numPr>
        <w:spacing w:before="120" w:after="120" w:line="360" w:lineRule="auto"/>
        <w:contextualSpacing w:val="0"/>
        <w:jc w:val="both"/>
        <w:rPr>
          <w:color w:val="000000" w:themeColor="text1"/>
          <w:sz w:val="24"/>
          <w:szCs w:val="24"/>
        </w:rPr>
      </w:pPr>
      <w:r w:rsidRPr="002F4D53">
        <w:rPr>
          <w:bCs/>
          <w:iCs/>
          <w:color w:val="000000" w:themeColor="text1"/>
          <w:sz w:val="24"/>
          <w:szCs w:val="24"/>
          <w:u w:val="single"/>
        </w:rPr>
        <w:t>Serious reaction</w:t>
      </w:r>
      <w:r w:rsidRPr="002F4D53">
        <w:rPr>
          <w:bCs/>
          <w:iCs/>
          <w:color w:val="000000" w:themeColor="text1"/>
          <w:sz w:val="24"/>
          <w:szCs w:val="24"/>
        </w:rPr>
        <w:t xml:space="preserve">: </w:t>
      </w:r>
      <w:r w:rsidR="00434ACA" w:rsidRPr="002F4D53">
        <w:rPr>
          <w:bCs/>
          <w:iCs/>
          <w:color w:val="000000" w:themeColor="text1"/>
          <w:sz w:val="24"/>
          <w:szCs w:val="24"/>
        </w:rPr>
        <w:t>As per definition.</w:t>
      </w:r>
      <w:r w:rsidRPr="002F4D53">
        <w:rPr>
          <w:bCs/>
          <w:iCs/>
          <w:color w:val="000000" w:themeColor="text1"/>
          <w:sz w:val="24"/>
          <w:szCs w:val="24"/>
        </w:rPr>
        <w:t xml:space="preserve"> </w:t>
      </w:r>
    </w:p>
    <w:p w14:paraId="75BE2AA4" w14:textId="77777777" w:rsidR="00373354" w:rsidRPr="002F4D53" w:rsidRDefault="00373354" w:rsidP="00B551AA">
      <w:pPr>
        <w:pStyle w:val="ListParagraph"/>
        <w:widowControl/>
        <w:numPr>
          <w:ilvl w:val="0"/>
          <w:numId w:val="78"/>
        </w:numPr>
        <w:spacing w:before="120" w:after="120" w:line="360" w:lineRule="auto"/>
        <w:contextualSpacing w:val="0"/>
        <w:jc w:val="both"/>
        <w:rPr>
          <w:color w:val="000000" w:themeColor="text1"/>
          <w:sz w:val="24"/>
          <w:szCs w:val="24"/>
        </w:rPr>
      </w:pPr>
      <w:r w:rsidRPr="002F4D53">
        <w:rPr>
          <w:b/>
          <w:bCs/>
          <w:i/>
          <w:iCs/>
          <w:color w:val="000000" w:themeColor="text1"/>
          <w:sz w:val="24"/>
          <w:szCs w:val="24"/>
        </w:rPr>
        <w:lastRenderedPageBreak/>
        <w:t>Identification of duplicate reports</w:t>
      </w:r>
      <w:r w:rsidRPr="002F4D53">
        <w:rPr>
          <w:bCs/>
          <w:iCs/>
          <w:color w:val="000000" w:themeColor="text1"/>
          <w:sz w:val="24"/>
          <w:szCs w:val="24"/>
        </w:rPr>
        <w:t xml:space="preserve">: </w:t>
      </w:r>
      <w:r w:rsidRPr="002F4D53">
        <w:rPr>
          <w:color w:val="000000" w:themeColor="text1"/>
          <w:sz w:val="24"/>
          <w:szCs w:val="24"/>
        </w:rPr>
        <w:t>Certain characteristics of a case (sex, age or date of birth, dates of drug exposure, etc.) may be used to identify duplicate reporting.</w:t>
      </w:r>
    </w:p>
    <w:p w14:paraId="380E35C0" w14:textId="34B3D012" w:rsidR="00373354" w:rsidRPr="001132D4" w:rsidRDefault="00373354" w:rsidP="00B551AA">
      <w:pPr>
        <w:pStyle w:val="ListParagraph"/>
        <w:widowControl/>
        <w:numPr>
          <w:ilvl w:val="0"/>
          <w:numId w:val="78"/>
        </w:numPr>
        <w:spacing w:before="120" w:after="120" w:line="360" w:lineRule="auto"/>
        <w:contextualSpacing w:val="0"/>
        <w:jc w:val="both"/>
        <w:rPr>
          <w:color w:val="000000" w:themeColor="text1"/>
          <w:sz w:val="24"/>
          <w:szCs w:val="24"/>
        </w:rPr>
      </w:pPr>
      <w:r w:rsidRPr="002F4D53">
        <w:rPr>
          <w:b/>
          <w:bCs/>
          <w:i/>
          <w:iCs/>
          <w:color w:val="000000" w:themeColor="text1"/>
          <w:sz w:val="24"/>
          <w:szCs w:val="24"/>
        </w:rPr>
        <w:t>Causality assessment:</w:t>
      </w:r>
      <w:r w:rsidRPr="002F4D53">
        <w:rPr>
          <w:bCs/>
          <w:iCs/>
          <w:color w:val="000000" w:themeColor="text1"/>
          <w:sz w:val="24"/>
          <w:szCs w:val="24"/>
        </w:rPr>
        <w:t xml:space="preserve"> see </w:t>
      </w:r>
      <w:r w:rsidRPr="00B83EA7">
        <w:rPr>
          <w:bCs/>
          <w:iCs/>
          <w:color w:val="000000" w:themeColor="text1"/>
          <w:sz w:val="24"/>
          <w:szCs w:val="24"/>
        </w:rPr>
        <w:t>Chapter No.6</w:t>
      </w:r>
    </w:p>
    <w:p w14:paraId="1430D787" w14:textId="77777777" w:rsidR="00373354" w:rsidRPr="00FD600E" w:rsidRDefault="00373354" w:rsidP="00373354">
      <w:pPr>
        <w:tabs>
          <w:tab w:val="left" w:pos="450"/>
        </w:tabs>
        <w:spacing w:before="120" w:after="120"/>
        <w:jc w:val="both"/>
        <w:rPr>
          <w:b/>
          <w:bCs/>
          <w:sz w:val="28"/>
          <w:szCs w:val="28"/>
        </w:rPr>
      </w:pPr>
      <w:r w:rsidRPr="00FD600E">
        <w:rPr>
          <w:b/>
          <w:bCs/>
          <w:sz w:val="28"/>
          <w:szCs w:val="28"/>
        </w:rPr>
        <w:t>4.8</w:t>
      </w:r>
      <w:r w:rsidRPr="00FD600E">
        <w:rPr>
          <w:b/>
          <w:bCs/>
          <w:sz w:val="28"/>
          <w:szCs w:val="28"/>
        </w:rPr>
        <w:tab/>
      </w:r>
      <w:r w:rsidRPr="0071693C">
        <w:rPr>
          <w:b/>
          <w:bCs/>
          <w:sz w:val="28"/>
          <w:szCs w:val="28"/>
          <w:u w:val="single"/>
        </w:rPr>
        <w:t>Use of Pharmacovigilance Data:</w:t>
      </w:r>
    </w:p>
    <w:p w14:paraId="30C9022D" w14:textId="77777777" w:rsidR="00373354" w:rsidRPr="00FD600E" w:rsidRDefault="00373354" w:rsidP="00B551AA">
      <w:pPr>
        <w:pStyle w:val="ListParagraph"/>
        <w:numPr>
          <w:ilvl w:val="0"/>
          <w:numId w:val="79"/>
        </w:numPr>
        <w:tabs>
          <w:tab w:val="left" w:pos="450"/>
        </w:tabs>
        <w:spacing w:before="120" w:after="120" w:line="360" w:lineRule="auto"/>
        <w:contextualSpacing w:val="0"/>
        <w:jc w:val="both"/>
        <w:rPr>
          <w:bCs/>
          <w:i/>
          <w:sz w:val="24"/>
          <w:szCs w:val="24"/>
          <w:u w:val="single"/>
        </w:rPr>
      </w:pPr>
      <w:r w:rsidRPr="00FD600E">
        <w:rPr>
          <w:bCs/>
          <w:i/>
          <w:sz w:val="24"/>
          <w:szCs w:val="24"/>
          <w:u w:val="single"/>
        </w:rPr>
        <w:t>Signal detection and Strengthening:</w:t>
      </w:r>
    </w:p>
    <w:p w14:paraId="2A6551AA" w14:textId="77777777" w:rsidR="00373354" w:rsidRPr="00CA6572" w:rsidRDefault="00373354" w:rsidP="00B87B38">
      <w:pPr>
        <w:pStyle w:val="ListParagraph"/>
        <w:tabs>
          <w:tab w:val="left" w:pos="450"/>
        </w:tabs>
        <w:spacing w:before="120" w:after="120" w:line="360" w:lineRule="auto"/>
        <w:contextualSpacing w:val="0"/>
        <w:jc w:val="both"/>
        <w:rPr>
          <w:bCs/>
          <w:sz w:val="24"/>
          <w:szCs w:val="24"/>
          <w:u w:val="single"/>
        </w:rPr>
      </w:pPr>
      <w:r w:rsidRPr="00CA6572">
        <w:rPr>
          <w:color w:val="242021"/>
          <w:sz w:val="24"/>
          <w:szCs w:val="24"/>
        </w:rPr>
        <w:t>A major aim of pharmacovigilance is the early detection of signals with regard to possible adverse reactions.</w:t>
      </w:r>
      <w:r w:rsidRPr="00CA6572">
        <w:rPr>
          <w:rStyle w:val="Heading1Char"/>
          <w:rFonts w:ascii="Times New Roman" w:hAnsi="Times New Roman" w:cs="Times New Roman"/>
          <w:sz w:val="24"/>
          <w:szCs w:val="24"/>
        </w:rPr>
        <w:t xml:space="preserve"> </w:t>
      </w:r>
      <w:r w:rsidRPr="00CA6572">
        <w:rPr>
          <w:color w:val="242021"/>
          <w:sz w:val="24"/>
          <w:szCs w:val="24"/>
        </w:rPr>
        <w:t xml:space="preserve">A signal may be strengthened by combining the experiences reported in various countries. Therefore, international collaboration is important. Through </w:t>
      </w:r>
      <w:proofErr w:type="spellStart"/>
      <w:r w:rsidRPr="00CA6572">
        <w:rPr>
          <w:color w:val="242021"/>
          <w:sz w:val="24"/>
          <w:szCs w:val="24"/>
        </w:rPr>
        <w:t>VigiLyze</w:t>
      </w:r>
      <w:proofErr w:type="spellEnd"/>
      <w:r w:rsidRPr="00CA6572">
        <w:rPr>
          <w:color w:val="242021"/>
          <w:sz w:val="24"/>
          <w:szCs w:val="24"/>
        </w:rPr>
        <w:t xml:space="preserve"> statistics of Drug-ADR combination in </w:t>
      </w:r>
      <w:proofErr w:type="spellStart"/>
      <w:r w:rsidRPr="00CA6572">
        <w:rPr>
          <w:color w:val="242021"/>
          <w:sz w:val="24"/>
          <w:szCs w:val="24"/>
        </w:rPr>
        <w:t>VigiBase</w:t>
      </w:r>
      <w:proofErr w:type="spellEnd"/>
      <w:r w:rsidRPr="00CA6572">
        <w:rPr>
          <w:color w:val="242021"/>
          <w:sz w:val="24"/>
          <w:szCs w:val="24"/>
        </w:rPr>
        <w:t xml:space="preserve"> and other countries can be seen. It will help to build case series.</w:t>
      </w:r>
    </w:p>
    <w:p w14:paraId="0BFAAE05" w14:textId="77777777" w:rsidR="00373354" w:rsidRPr="00FD600E" w:rsidRDefault="00373354" w:rsidP="00B551AA">
      <w:pPr>
        <w:pStyle w:val="ListParagraph"/>
        <w:numPr>
          <w:ilvl w:val="0"/>
          <w:numId w:val="79"/>
        </w:numPr>
        <w:tabs>
          <w:tab w:val="left" w:pos="450"/>
        </w:tabs>
        <w:spacing w:before="120" w:after="120" w:line="360" w:lineRule="auto"/>
        <w:contextualSpacing w:val="0"/>
        <w:jc w:val="both"/>
        <w:rPr>
          <w:bCs/>
          <w:sz w:val="24"/>
          <w:szCs w:val="24"/>
          <w:u w:val="single"/>
        </w:rPr>
      </w:pPr>
      <w:r w:rsidRPr="00FD600E">
        <w:rPr>
          <w:bCs/>
          <w:i/>
          <w:sz w:val="24"/>
          <w:szCs w:val="24"/>
          <w:u w:val="single"/>
        </w:rPr>
        <w:t>Risk Management:</w:t>
      </w:r>
      <w:r w:rsidRPr="00CA6572">
        <w:rPr>
          <w:rFonts w:eastAsia="Calibri"/>
          <w:color w:val="000000" w:themeColor="text1"/>
          <w:sz w:val="24"/>
          <w:szCs w:val="24"/>
        </w:rPr>
        <w:t xml:space="preserve"> </w:t>
      </w:r>
    </w:p>
    <w:p w14:paraId="2AF29F54" w14:textId="20EA53C2" w:rsidR="00373354" w:rsidRPr="00CA6572" w:rsidRDefault="00373354" w:rsidP="00B87B38">
      <w:pPr>
        <w:pStyle w:val="ListParagraph"/>
        <w:tabs>
          <w:tab w:val="left" w:pos="450"/>
        </w:tabs>
        <w:spacing w:before="120" w:after="120" w:line="360" w:lineRule="auto"/>
        <w:contextualSpacing w:val="0"/>
        <w:jc w:val="both"/>
        <w:rPr>
          <w:bCs/>
          <w:sz w:val="24"/>
          <w:szCs w:val="24"/>
          <w:u w:val="single"/>
        </w:rPr>
      </w:pPr>
      <w:r w:rsidRPr="00CA6572">
        <w:rPr>
          <w:rFonts w:eastAsia="Calibri"/>
          <w:color w:val="000000" w:themeColor="text1"/>
          <w:sz w:val="24"/>
          <w:szCs w:val="24"/>
        </w:rPr>
        <w:t xml:space="preserve">Risk management is </w:t>
      </w:r>
      <w:r w:rsidR="001132D4">
        <w:rPr>
          <w:rFonts w:eastAsia="Calibri"/>
          <w:color w:val="000000" w:themeColor="text1"/>
          <w:sz w:val="24"/>
          <w:szCs w:val="24"/>
        </w:rPr>
        <w:t xml:space="preserve">the </w:t>
      </w:r>
      <w:r w:rsidRPr="00CA6572">
        <w:rPr>
          <w:rFonts w:eastAsia="Calibri"/>
          <w:color w:val="000000" w:themeColor="text1"/>
          <w:sz w:val="24"/>
          <w:szCs w:val="24"/>
        </w:rPr>
        <w:t xml:space="preserve">identification, characterization, assessment, </w:t>
      </w:r>
      <w:r w:rsidR="001132D4">
        <w:rPr>
          <w:rFonts w:eastAsia="Calibri"/>
          <w:color w:val="000000" w:themeColor="text1"/>
          <w:sz w:val="24"/>
          <w:szCs w:val="24"/>
        </w:rPr>
        <w:t xml:space="preserve">and </w:t>
      </w:r>
      <w:r w:rsidRPr="00CA6572">
        <w:rPr>
          <w:rFonts w:eastAsia="Calibri"/>
          <w:color w:val="000000" w:themeColor="text1"/>
          <w:sz w:val="24"/>
          <w:szCs w:val="24"/>
        </w:rPr>
        <w:t>prioritization of risks, followed by coordinated and economical application of resources to, minimize, monitor, control and prevent the probability and impact of unfortunate event</w:t>
      </w:r>
      <w:r w:rsidR="001132D4">
        <w:rPr>
          <w:rFonts w:eastAsia="Calibri"/>
          <w:color w:val="000000" w:themeColor="text1"/>
          <w:sz w:val="24"/>
          <w:szCs w:val="24"/>
        </w:rPr>
        <w:t>s</w:t>
      </w:r>
      <w:r w:rsidRPr="00CA6572">
        <w:rPr>
          <w:rFonts w:eastAsia="Calibri"/>
          <w:color w:val="000000" w:themeColor="text1"/>
          <w:sz w:val="24"/>
          <w:szCs w:val="24"/>
        </w:rPr>
        <w:t xml:space="preserve"> is known as risk management.</w:t>
      </w:r>
    </w:p>
    <w:p w14:paraId="38D7251E" w14:textId="74679592" w:rsidR="00373354" w:rsidRPr="00CA6572" w:rsidRDefault="00373354" w:rsidP="00B551AA">
      <w:pPr>
        <w:pStyle w:val="ListParagraph"/>
        <w:numPr>
          <w:ilvl w:val="0"/>
          <w:numId w:val="79"/>
        </w:numPr>
        <w:tabs>
          <w:tab w:val="left" w:pos="450"/>
        </w:tabs>
        <w:spacing w:before="120" w:after="120" w:line="360" w:lineRule="auto"/>
        <w:contextualSpacing w:val="0"/>
        <w:jc w:val="both"/>
        <w:rPr>
          <w:bCs/>
          <w:sz w:val="24"/>
          <w:szCs w:val="24"/>
          <w:u w:val="single"/>
        </w:rPr>
      </w:pPr>
      <w:r w:rsidRPr="00FD600E">
        <w:rPr>
          <w:bCs/>
          <w:i/>
          <w:sz w:val="24"/>
          <w:szCs w:val="24"/>
          <w:u w:val="single"/>
        </w:rPr>
        <w:t>Drug Regulation</w:t>
      </w:r>
      <w:r w:rsidR="000C5A08">
        <w:rPr>
          <w:bCs/>
          <w:i/>
          <w:sz w:val="24"/>
          <w:szCs w:val="24"/>
          <w:u w:val="single"/>
        </w:rPr>
        <w:t>s</w:t>
      </w:r>
      <w:r w:rsidRPr="00FD600E">
        <w:rPr>
          <w:bCs/>
          <w:i/>
          <w:sz w:val="24"/>
          <w:szCs w:val="24"/>
          <w:u w:val="single"/>
        </w:rPr>
        <w:t>:</w:t>
      </w:r>
      <w:r w:rsidRPr="00CA6572">
        <w:rPr>
          <w:rStyle w:val="Heading1Char"/>
          <w:rFonts w:ascii="Times New Roman" w:hAnsi="Times New Roman" w:cs="Times New Roman"/>
        </w:rPr>
        <w:t xml:space="preserve"> </w:t>
      </w:r>
      <w:r w:rsidRPr="00CA6572">
        <w:rPr>
          <w:color w:val="242021"/>
          <w:sz w:val="24"/>
          <w:szCs w:val="24"/>
        </w:rPr>
        <w:t xml:space="preserve">After approval of a therapeutic good, all available domestic </w:t>
      </w:r>
      <w:r w:rsidRPr="00CA6572">
        <w:rPr>
          <w:color w:val="242021"/>
          <w:sz w:val="24"/>
          <w:szCs w:val="24"/>
        </w:rPr>
        <w:br/>
        <w:t>information is continuously monitored by the NPC-DRAP, PPCs and registration holders.  The pharmacovigilance data of Pakistan can be useful to update to prescribing information/package inserts, recall or withdraw a product, imposition of restriction</w:t>
      </w:r>
      <w:r w:rsidR="001132D4">
        <w:rPr>
          <w:color w:val="242021"/>
          <w:sz w:val="24"/>
          <w:szCs w:val="24"/>
        </w:rPr>
        <w:t>s</w:t>
      </w:r>
      <w:r w:rsidRPr="00CA6572">
        <w:rPr>
          <w:color w:val="242021"/>
          <w:sz w:val="24"/>
          <w:szCs w:val="24"/>
        </w:rPr>
        <w:t xml:space="preserve"> in use, or cancellation of registration of therapeutic good</w:t>
      </w:r>
      <w:r w:rsidR="001132D4">
        <w:rPr>
          <w:color w:val="242021"/>
          <w:sz w:val="24"/>
          <w:szCs w:val="24"/>
        </w:rPr>
        <w:t>s</w:t>
      </w:r>
      <w:r w:rsidRPr="00CA6572">
        <w:rPr>
          <w:color w:val="242021"/>
          <w:sz w:val="24"/>
          <w:szCs w:val="24"/>
        </w:rPr>
        <w:t>.</w:t>
      </w:r>
    </w:p>
    <w:p w14:paraId="30B7D44E" w14:textId="77777777" w:rsidR="00373354" w:rsidRPr="00FD600E" w:rsidRDefault="00373354" w:rsidP="00B551AA">
      <w:pPr>
        <w:pStyle w:val="ListParagraph"/>
        <w:numPr>
          <w:ilvl w:val="0"/>
          <w:numId w:val="79"/>
        </w:numPr>
        <w:tabs>
          <w:tab w:val="left" w:pos="450"/>
        </w:tabs>
        <w:spacing w:before="120" w:after="120" w:line="360" w:lineRule="auto"/>
        <w:contextualSpacing w:val="0"/>
        <w:jc w:val="both"/>
        <w:rPr>
          <w:bCs/>
          <w:i/>
          <w:sz w:val="24"/>
          <w:szCs w:val="24"/>
          <w:u w:val="single"/>
        </w:rPr>
      </w:pPr>
      <w:r w:rsidRPr="00FD600E">
        <w:rPr>
          <w:bCs/>
          <w:i/>
          <w:sz w:val="24"/>
          <w:szCs w:val="24"/>
          <w:u w:val="single"/>
        </w:rPr>
        <w:t>Risk Communication and Information:</w:t>
      </w:r>
    </w:p>
    <w:p w14:paraId="1758771A" w14:textId="00DFDCBB" w:rsidR="00373354" w:rsidRPr="00CA6572" w:rsidRDefault="00373354" w:rsidP="00B87B38">
      <w:pPr>
        <w:pStyle w:val="ListParagraph"/>
        <w:tabs>
          <w:tab w:val="left" w:pos="450"/>
        </w:tabs>
        <w:spacing w:before="120" w:after="120" w:line="360" w:lineRule="auto"/>
        <w:contextualSpacing w:val="0"/>
        <w:jc w:val="both"/>
        <w:rPr>
          <w:bCs/>
          <w:sz w:val="24"/>
          <w:szCs w:val="24"/>
          <w:u w:val="single"/>
        </w:rPr>
      </w:pPr>
      <w:r w:rsidRPr="00CA6572">
        <w:rPr>
          <w:color w:val="242021"/>
          <w:sz w:val="24"/>
          <w:szCs w:val="24"/>
        </w:rPr>
        <w:t>ADR</w:t>
      </w:r>
      <w:r w:rsidR="007F6CED">
        <w:rPr>
          <w:color w:val="242021"/>
          <w:sz w:val="24"/>
          <w:szCs w:val="24"/>
        </w:rPr>
        <w:t>s news</w:t>
      </w:r>
      <w:r w:rsidRPr="00CA6572">
        <w:rPr>
          <w:color w:val="242021"/>
          <w:sz w:val="24"/>
          <w:szCs w:val="24"/>
        </w:rPr>
        <w:t xml:space="preserve"> </w:t>
      </w:r>
      <w:r w:rsidR="007F6CED" w:rsidRPr="00CA6572">
        <w:rPr>
          <w:color w:val="242021"/>
          <w:sz w:val="24"/>
          <w:szCs w:val="24"/>
        </w:rPr>
        <w:t>bulletin</w:t>
      </w:r>
      <w:r w:rsidR="007F6CED">
        <w:rPr>
          <w:color w:val="242021"/>
          <w:sz w:val="24"/>
          <w:szCs w:val="24"/>
        </w:rPr>
        <w:t>/</w:t>
      </w:r>
      <w:r w:rsidRPr="00CA6572">
        <w:rPr>
          <w:color w:val="242021"/>
          <w:sz w:val="24"/>
          <w:szCs w:val="24"/>
        </w:rPr>
        <w:t>newsletters or therapeutic goods safety alert</w:t>
      </w:r>
      <w:r w:rsidR="001132D4">
        <w:rPr>
          <w:color w:val="242021"/>
          <w:sz w:val="24"/>
          <w:szCs w:val="24"/>
        </w:rPr>
        <w:t>s</w:t>
      </w:r>
      <w:r w:rsidRPr="00CA6572">
        <w:rPr>
          <w:color w:val="242021"/>
          <w:sz w:val="24"/>
          <w:szCs w:val="24"/>
        </w:rPr>
        <w:t xml:space="preserve"> are important source</w:t>
      </w:r>
      <w:r w:rsidR="001132D4">
        <w:rPr>
          <w:color w:val="242021"/>
          <w:sz w:val="24"/>
          <w:szCs w:val="24"/>
        </w:rPr>
        <w:t>s</w:t>
      </w:r>
      <w:r w:rsidRPr="00CA6572">
        <w:rPr>
          <w:color w:val="242021"/>
          <w:sz w:val="24"/>
          <w:szCs w:val="24"/>
        </w:rPr>
        <w:t xml:space="preserve"> for </w:t>
      </w:r>
      <w:r w:rsidR="001132D4">
        <w:rPr>
          <w:color w:val="242021"/>
          <w:sz w:val="24"/>
          <w:szCs w:val="24"/>
        </w:rPr>
        <w:t xml:space="preserve">the </w:t>
      </w:r>
      <w:r w:rsidRPr="00CA6572">
        <w:rPr>
          <w:color w:val="242021"/>
          <w:sz w:val="24"/>
          <w:szCs w:val="24"/>
        </w:rPr>
        <w:t xml:space="preserve">dissemination of information to </w:t>
      </w:r>
      <w:r w:rsidR="00434ACA" w:rsidRPr="00CA6572">
        <w:rPr>
          <w:color w:val="242021"/>
          <w:sz w:val="24"/>
          <w:szCs w:val="24"/>
        </w:rPr>
        <w:t xml:space="preserve">healthcare </w:t>
      </w:r>
      <w:r w:rsidRPr="00CA6572">
        <w:rPr>
          <w:color w:val="242021"/>
          <w:sz w:val="24"/>
          <w:szCs w:val="24"/>
        </w:rPr>
        <w:t xml:space="preserve">professionals. In the case of an emergency, </w:t>
      </w:r>
      <w:r w:rsidR="00434ACA">
        <w:rPr>
          <w:color w:val="242021"/>
          <w:sz w:val="24"/>
          <w:szCs w:val="24"/>
        </w:rPr>
        <w:t xml:space="preserve">the </w:t>
      </w:r>
      <w:r w:rsidRPr="00CA6572">
        <w:rPr>
          <w:color w:val="242021"/>
          <w:sz w:val="24"/>
          <w:szCs w:val="24"/>
        </w:rPr>
        <w:t>NPC and registration holders may send direct healthcare professionals communication (DHPC)</w:t>
      </w:r>
      <w:r w:rsidR="00434ACA">
        <w:rPr>
          <w:color w:val="242021"/>
          <w:sz w:val="24"/>
          <w:szCs w:val="24"/>
        </w:rPr>
        <w:t xml:space="preserve"> to inform the healthcare professional abou</w:t>
      </w:r>
      <w:r w:rsidR="001132D4">
        <w:rPr>
          <w:color w:val="242021"/>
          <w:sz w:val="24"/>
          <w:szCs w:val="24"/>
        </w:rPr>
        <w:t>t</w:t>
      </w:r>
      <w:r w:rsidR="00434ACA">
        <w:rPr>
          <w:color w:val="242021"/>
          <w:sz w:val="24"/>
          <w:szCs w:val="24"/>
        </w:rPr>
        <w:t xml:space="preserve"> the risk</w:t>
      </w:r>
      <w:r w:rsidR="001132D4">
        <w:rPr>
          <w:color w:val="242021"/>
          <w:sz w:val="24"/>
          <w:szCs w:val="24"/>
        </w:rPr>
        <w:t>s</w:t>
      </w:r>
      <w:r w:rsidR="00434ACA">
        <w:rPr>
          <w:color w:val="242021"/>
          <w:sz w:val="24"/>
          <w:szCs w:val="24"/>
        </w:rPr>
        <w:t>.</w:t>
      </w:r>
    </w:p>
    <w:p w14:paraId="37DDCDDA" w14:textId="77777777" w:rsidR="00373354" w:rsidRPr="00CA6572" w:rsidRDefault="00373354" w:rsidP="00B551AA">
      <w:pPr>
        <w:pStyle w:val="ListParagraph"/>
        <w:numPr>
          <w:ilvl w:val="0"/>
          <w:numId w:val="79"/>
        </w:numPr>
        <w:tabs>
          <w:tab w:val="left" w:pos="450"/>
        </w:tabs>
        <w:spacing w:before="120" w:after="120" w:line="360" w:lineRule="auto"/>
        <w:contextualSpacing w:val="0"/>
        <w:jc w:val="both"/>
        <w:rPr>
          <w:bCs/>
          <w:sz w:val="24"/>
          <w:szCs w:val="24"/>
          <w:u w:val="single"/>
        </w:rPr>
      </w:pPr>
      <w:r w:rsidRPr="00CA6572">
        <w:rPr>
          <w:bCs/>
          <w:sz w:val="24"/>
          <w:szCs w:val="24"/>
          <w:u w:val="single"/>
        </w:rPr>
        <w:t>Education and Feedback:</w:t>
      </w:r>
    </w:p>
    <w:p w14:paraId="532F00E1" w14:textId="7F88505F" w:rsidR="00373354" w:rsidRPr="00CA6572" w:rsidRDefault="00373354" w:rsidP="00B87B38">
      <w:pPr>
        <w:pStyle w:val="ListParagraph"/>
        <w:tabs>
          <w:tab w:val="left" w:pos="450"/>
        </w:tabs>
        <w:spacing w:before="120" w:after="120" w:line="360" w:lineRule="auto"/>
        <w:contextualSpacing w:val="0"/>
        <w:jc w:val="both"/>
        <w:rPr>
          <w:bCs/>
          <w:sz w:val="24"/>
          <w:szCs w:val="24"/>
        </w:rPr>
      </w:pPr>
      <w:r w:rsidRPr="00CA6572">
        <w:rPr>
          <w:bCs/>
          <w:sz w:val="24"/>
          <w:szCs w:val="24"/>
        </w:rPr>
        <w:t>The information from NPC dat</w:t>
      </w:r>
      <w:r w:rsidR="00434ACA">
        <w:rPr>
          <w:bCs/>
          <w:sz w:val="24"/>
          <w:szCs w:val="24"/>
        </w:rPr>
        <w:t>a</w:t>
      </w:r>
      <w:r w:rsidRPr="00CA6572">
        <w:rPr>
          <w:bCs/>
          <w:sz w:val="24"/>
          <w:szCs w:val="24"/>
        </w:rPr>
        <w:t xml:space="preserve"> is useful in updating the knowledge associated with the use of medication to healthcare professionals.</w:t>
      </w:r>
    </w:p>
    <w:p w14:paraId="10A1019E" w14:textId="6B715EC8" w:rsidR="009723E2" w:rsidRDefault="00373354" w:rsidP="00373354">
      <w:pPr>
        <w:rPr>
          <w:sz w:val="24"/>
          <w:szCs w:val="24"/>
        </w:rPr>
      </w:pPr>
      <w:r>
        <w:rPr>
          <w:sz w:val="24"/>
          <w:szCs w:val="24"/>
        </w:rPr>
        <w:br w:type="page"/>
      </w:r>
    </w:p>
    <w:tbl>
      <w:tblPr>
        <w:tblStyle w:val="TableGrid"/>
        <w:tblW w:w="8528" w:type="dxa"/>
        <w:tblInd w:w="851" w:type="dxa"/>
        <w:tblLook w:val="04A0" w:firstRow="1" w:lastRow="0" w:firstColumn="1" w:lastColumn="0" w:noHBand="0" w:noVBand="1"/>
      </w:tblPr>
      <w:tblGrid>
        <w:gridCol w:w="8528"/>
      </w:tblGrid>
      <w:tr w:rsidR="009723E2" w14:paraId="2006665D" w14:textId="77777777" w:rsidTr="009723E2">
        <w:trPr>
          <w:trHeight w:val="438"/>
        </w:trPr>
        <w:tc>
          <w:tcPr>
            <w:tcW w:w="8528" w:type="dxa"/>
            <w:shd w:val="clear" w:color="auto" w:fill="00B0F0"/>
          </w:tcPr>
          <w:p w14:paraId="09410FC3" w14:textId="50722B97" w:rsidR="009723E2" w:rsidRPr="009723E2" w:rsidRDefault="009723E2" w:rsidP="009723E2">
            <w:pPr>
              <w:spacing w:line="276" w:lineRule="auto"/>
              <w:jc w:val="center"/>
              <w:rPr>
                <w:b/>
                <w:bCs/>
                <w:sz w:val="24"/>
                <w:szCs w:val="24"/>
              </w:rPr>
            </w:pPr>
            <w:r w:rsidRPr="009723E2">
              <w:rPr>
                <w:b/>
                <w:bCs/>
                <w:sz w:val="28"/>
                <w:szCs w:val="28"/>
              </w:rPr>
              <w:lastRenderedPageBreak/>
              <w:t>CHAPTER 5</w:t>
            </w:r>
          </w:p>
        </w:tc>
      </w:tr>
    </w:tbl>
    <w:p w14:paraId="08BACCD4" w14:textId="5CE6D4BF" w:rsidR="009723E2" w:rsidRPr="006635C4" w:rsidRDefault="009B2606" w:rsidP="00B551AA">
      <w:pPr>
        <w:pStyle w:val="ListParagraph"/>
        <w:numPr>
          <w:ilvl w:val="0"/>
          <w:numId w:val="72"/>
        </w:numPr>
        <w:ind w:left="270" w:hanging="270"/>
        <w:rPr>
          <w:rStyle w:val="Level1DRAPChar"/>
          <w:bCs/>
        </w:rPr>
      </w:pPr>
      <w:bookmarkStart w:id="49" w:name="_Toc110329930"/>
      <w:r w:rsidRPr="006635C4">
        <w:rPr>
          <w:rStyle w:val="Level1DRAPChar"/>
          <w:bCs/>
        </w:rPr>
        <w:t>TYPES OF SURVEILLANCE IN PAKISTAN.</w:t>
      </w:r>
      <w:bookmarkEnd w:id="49"/>
    </w:p>
    <w:p w14:paraId="1E7C949B" w14:textId="77777777" w:rsidR="00A36466" w:rsidRPr="00A36466" w:rsidRDefault="00A36466" w:rsidP="00A36466"/>
    <w:p w14:paraId="01F45109" w14:textId="61733997" w:rsidR="00BD617B" w:rsidRPr="004944A6" w:rsidRDefault="004944A6" w:rsidP="0074459E">
      <w:pPr>
        <w:spacing w:before="120" w:after="120" w:line="360" w:lineRule="auto"/>
        <w:rPr>
          <w:b/>
          <w:bCs/>
          <w:sz w:val="28"/>
          <w:szCs w:val="28"/>
          <w:u w:val="single"/>
        </w:rPr>
      </w:pPr>
      <w:r w:rsidRPr="0074459E">
        <w:rPr>
          <w:b/>
          <w:bCs/>
          <w:sz w:val="28"/>
          <w:szCs w:val="28"/>
        </w:rPr>
        <w:t>5.1</w:t>
      </w:r>
      <w:r w:rsidR="00683B8A" w:rsidRPr="0074459E">
        <w:rPr>
          <w:b/>
          <w:bCs/>
          <w:sz w:val="28"/>
          <w:szCs w:val="28"/>
        </w:rPr>
        <w:t xml:space="preserve"> </w:t>
      </w:r>
      <w:r w:rsidR="00BD617B" w:rsidRPr="004944A6">
        <w:rPr>
          <w:b/>
          <w:bCs/>
          <w:sz w:val="28"/>
          <w:szCs w:val="28"/>
          <w:u w:val="single"/>
        </w:rPr>
        <w:t>Passive Surveillance</w:t>
      </w:r>
    </w:p>
    <w:p w14:paraId="14D57A46" w14:textId="609F030A" w:rsidR="00BD617B" w:rsidRDefault="00A46614" w:rsidP="0074459E">
      <w:pPr>
        <w:spacing w:before="120" w:after="120" w:line="360" w:lineRule="auto"/>
        <w:ind w:left="540"/>
        <w:jc w:val="both"/>
        <w:rPr>
          <w:sz w:val="24"/>
          <w:szCs w:val="24"/>
        </w:rPr>
      </w:pPr>
      <w:r w:rsidRPr="00A46614">
        <w:rPr>
          <w:sz w:val="24"/>
          <w:szCs w:val="24"/>
        </w:rPr>
        <w:t xml:space="preserve">Passive Surveillance is a process where healthcare professionals or patients send spontaneous reports describing an adverse drug reaction or event after one or more therapeutic goods are administered to the registration holders or regulatory authority. </w:t>
      </w:r>
      <w:r w:rsidR="00BD617B" w:rsidRPr="00A46614">
        <w:rPr>
          <w:sz w:val="24"/>
          <w:szCs w:val="24"/>
        </w:rPr>
        <w:t xml:space="preserve">Passive surveillance means no active measures are taken to look for adverse effects other than the encouragement of healthcare professionals and others to report safety concerns. Reporting is entirely dependent on the initiative, motivation and goodwill of the potential reporters. It is the most common method used in pharmacovigilance. It covers </w:t>
      </w:r>
      <w:r>
        <w:rPr>
          <w:sz w:val="24"/>
          <w:szCs w:val="24"/>
        </w:rPr>
        <w:t xml:space="preserve">the </w:t>
      </w:r>
      <w:r w:rsidR="00BD617B" w:rsidRPr="00A46614">
        <w:rPr>
          <w:sz w:val="24"/>
          <w:szCs w:val="24"/>
        </w:rPr>
        <w:t>entire population and monitor</w:t>
      </w:r>
      <w:r>
        <w:rPr>
          <w:sz w:val="24"/>
          <w:szCs w:val="24"/>
        </w:rPr>
        <w:t>s</w:t>
      </w:r>
      <w:r w:rsidR="00BD617B" w:rsidRPr="00A46614">
        <w:rPr>
          <w:sz w:val="24"/>
          <w:szCs w:val="24"/>
        </w:rPr>
        <w:t xml:space="preserve"> adverse effects in patient</w:t>
      </w:r>
      <w:r>
        <w:rPr>
          <w:sz w:val="24"/>
          <w:szCs w:val="24"/>
        </w:rPr>
        <w:t>s</w:t>
      </w:r>
      <w:r w:rsidR="00BD617B" w:rsidRPr="00A46614">
        <w:rPr>
          <w:sz w:val="24"/>
          <w:szCs w:val="24"/>
        </w:rPr>
        <w:t xml:space="preserve"> that occur in real</w:t>
      </w:r>
      <w:r>
        <w:rPr>
          <w:sz w:val="24"/>
          <w:szCs w:val="24"/>
        </w:rPr>
        <w:t>-</w:t>
      </w:r>
      <w:r w:rsidR="00BD617B" w:rsidRPr="00A46614">
        <w:rPr>
          <w:sz w:val="24"/>
          <w:szCs w:val="24"/>
        </w:rPr>
        <w:t xml:space="preserve">time practice. Although it is </w:t>
      </w:r>
      <w:r>
        <w:rPr>
          <w:sz w:val="24"/>
          <w:szCs w:val="24"/>
        </w:rPr>
        <w:t xml:space="preserve">the </w:t>
      </w:r>
      <w:r w:rsidR="00BD617B" w:rsidRPr="00A46614">
        <w:rPr>
          <w:sz w:val="24"/>
          <w:szCs w:val="24"/>
        </w:rPr>
        <w:t>easiest and least expensive method yet it is not devoid of weaknesses which are: total or heavy reliance on voluntary or spontaneous reporting, under</w:t>
      </w:r>
      <w:r>
        <w:rPr>
          <w:sz w:val="24"/>
          <w:szCs w:val="24"/>
        </w:rPr>
        <w:t>-</w:t>
      </w:r>
      <w:r w:rsidR="00BD617B" w:rsidRPr="00A46614">
        <w:rPr>
          <w:sz w:val="24"/>
          <w:szCs w:val="24"/>
        </w:rPr>
        <w:t>reporting, and lack of quality of data in reports. However, it generates signals or alerts that can be further evaluated through active surveillance. Passive surveillance includes spontaneous reporting</w:t>
      </w:r>
      <w:r>
        <w:rPr>
          <w:sz w:val="24"/>
          <w:szCs w:val="24"/>
        </w:rPr>
        <w:t>,</w:t>
      </w:r>
      <w:r w:rsidR="00BD617B" w:rsidRPr="00A46614">
        <w:rPr>
          <w:sz w:val="24"/>
          <w:szCs w:val="24"/>
        </w:rPr>
        <w:t xml:space="preserve"> and case series etc.</w:t>
      </w:r>
    </w:p>
    <w:p w14:paraId="0FF79F7E" w14:textId="3E7DCF6D" w:rsidR="00916529" w:rsidRPr="00683B8A" w:rsidRDefault="00683B8A" w:rsidP="0074459E">
      <w:pPr>
        <w:spacing w:before="120" w:after="120"/>
        <w:ind w:left="540"/>
        <w:rPr>
          <w:i/>
          <w:iCs/>
          <w:sz w:val="24"/>
          <w:szCs w:val="24"/>
          <w:u w:val="single"/>
        </w:rPr>
      </w:pPr>
      <w:r w:rsidRPr="00683B8A">
        <w:rPr>
          <w:i/>
          <w:iCs/>
          <w:sz w:val="24"/>
          <w:szCs w:val="24"/>
          <w:u w:val="single"/>
        </w:rPr>
        <w:t xml:space="preserve">5.1.1 </w:t>
      </w:r>
      <w:r w:rsidR="00916529" w:rsidRPr="00683B8A">
        <w:rPr>
          <w:i/>
          <w:iCs/>
          <w:sz w:val="24"/>
          <w:szCs w:val="24"/>
          <w:u w:val="single"/>
        </w:rPr>
        <w:t xml:space="preserve">Spontaneous reporting: </w:t>
      </w:r>
    </w:p>
    <w:p w14:paraId="29AE6D61" w14:textId="77777777" w:rsidR="00916529" w:rsidRPr="004E01ED" w:rsidRDefault="00916529" w:rsidP="0074459E">
      <w:pPr>
        <w:tabs>
          <w:tab w:val="left" w:pos="180"/>
        </w:tabs>
        <w:spacing w:before="120" w:after="120" w:line="360" w:lineRule="auto"/>
        <w:ind w:left="900"/>
        <w:jc w:val="both"/>
        <w:rPr>
          <w:sz w:val="24"/>
          <w:szCs w:val="24"/>
        </w:rPr>
      </w:pPr>
      <w:r w:rsidRPr="004E01ED">
        <w:rPr>
          <w:sz w:val="24"/>
          <w:szCs w:val="24"/>
        </w:rPr>
        <w:t xml:space="preserve">A system whereby case reports of adverse drug events are voluntarily submitted from health professionals and pharmaceutical manufacturers to the national regulatory authority. It is also defined as “an unsolicited communication by a healthcare professional or consumer to a company or national regulatory authority (NPC or PPC in </w:t>
      </w:r>
      <w:r>
        <w:rPr>
          <w:sz w:val="24"/>
          <w:szCs w:val="24"/>
        </w:rPr>
        <w:t xml:space="preserve">the </w:t>
      </w:r>
      <w:r w:rsidRPr="004E01ED">
        <w:rPr>
          <w:sz w:val="24"/>
          <w:szCs w:val="24"/>
        </w:rPr>
        <w:t>case of Pakistan) that describes one or more adverse drug reactions in a patient who was given one or more medicinal products and that does not derive from a study or any organized data collection scheme”.</w:t>
      </w:r>
    </w:p>
    <w:p w14:paraId="23A6FC74" w14:textId="77777777" w:rsidR="00916529" w:rsidRPr="004E01ED" w:rsidRDefault="00916529" w:rsidP="0074459E">
      <w:pPr>
        <w:tabs>
          <w:tab w:val="left" w:pos="180"/>
        </w:tabs>
        <w:spacing w:before="120" w:after="120" w:line="360" w:lineRule="auto"/>
        <w:ind w:left="900"/>
        <w:jc w:val="both"/>
        <w:rPr>
          <w:sz w:val="24"/>
          <w:szCs w:val="24"/>
        </w:rPr>
      </w:pPr>
      <w:r>
        <w:rPr>
          <w:sz w:val="24"/>
          <w:szCs w:val="24"/>
        </w:rPr>
        <w:t>The b</w:t>
      </w:r>
      <w:r w:rsidRPr="004E01ED">
        <w:rPr>
          <w:sz w:val="24"/>
          <w:szCs w:val="24"/>
        </w:rPr>
        <w:t xml:space="preserve">enefits of spontaneous reporting are that it is easy </w:t>
      </w:r>
      <w:r>
        <w:rPr>
          <w:sz w:val="24"/>
          <w:szCs w:val="24"/>
        </w:rPr>
        <w:t xml:space="preserve">to </w:t>
      </w:r>
      <w:r w:rsidRPr="004E01ED">
        <w:rPr>
          <w:sz w:val="24"/>
          <w:szCs w:val="24"/>
        </w:rPr>
        <w:t xml:space="preserve">establish, </w:t>
      </w:r>
      <w:r>
        <w:rPr>
          <w:sz w:val="24"/>
          <w:szCs w:val="24"/>
        </w:rPr>
        <w:t xml:space="preserve">the </w:t>
      </w:r>
      <w:r w:rsidRPr="004E01ED">
        <w:rPr>
          <w:sz w:val="24"/>
          <w:szCs w:val="24"/>
        </w:rPr>
        <w:t xml:space="preserve">least expensive, </w:t>
      </w:r>
      <w:r>
        <w:rPr>
          <w:sz w:val="24"/>
          <w:szCs w:val="24"/>
        </w:rPr>
        <w:t xml:space="preserve">and the </w:t>
      </w:r>
      <w:r w:rsidRPr="004E01ED">
        <w:rPr>
          <w:sz w:val="24"/>
          <w:szCs w:val="24"/>
        </w:rPr>
        <w:t xml:space="preserve">least labour intensive. It covers the whole population, includes all medicines, and continues throughout the life cycle of medicine. In addition, it detects </w:t>
      </w:r>
      <w:r>
        <w:rPr>
          <w:sz w:val="24"/>
          <w:szCs w:val="24"/>
        </w:rPr>
        <w:t xml:space="preserve">the </w:t>
      </w:r>
      <w:r w:rsidRPr="004E01ED">
        <w:rPr>
          <w:sz w:val="24"/>
          <w:szCs w:val="24"/>
        </w:rPr>
        <w:t>signal of new, rare or serious ADRs. Whereas, its disadvantages are: inherent under</w:t>
      </w:r>
      <w:r>
        <w:rPr>
          <w:sz w:val="24"/>
          <w:szCs w:val="24"/>
        </w:rPr>
        <w:t>-</w:t>
      </w:r>
      <w:r w:rsidRPr="004E01ED">
        <w:rPr>
          <w:sz w:val="24"/>
          <w:szCs w:val="24"/>
        </w:rPr>
        <w:t>reporting; captures only suspected ADRs; difficult to detect delayed ADRs and ADR</w:t>
      </w:r>
      <w:r>
        <w:rPr>
          <w:sz w:val="24"/>
          <w:szCs w:val="24"/>
        </w:rPr>
        <w:t>s</w:t>
      </w:r>
      <w:r w:rsidRPr="004E01ED">
        <w:rPr>
          <w:sz w:val="24"/>
          <w:szCs w:val="24"/>
        </w:rPr>
        <w:t xml:space="preserve"> with high background incidence.</w:t>
      </w:r>
    </w:p>
    <w:p w14:paraId="4F4472DE" w14:textId="389072C7" w:rsidR="00916529" w:rsidRPr="00A46614" w:rsidRDefault="00916529" w:rsidP="0074459E">
      <w:pPr>
        <w:tabs>
          <w:tab w:val="left" w:pos="180"/>
        </w:tabs>
        <w:spacing w:before="120" w:after="120" w:line="360" w:lineRule="auto"/>
        <w:ind w:left="900"/>
        <w:jc w:val="both"/>
        <w:rPr>
          <w:sz w:val="24"/>
          <w:szCs w:val="24"/>
        </w:rPr>
      </w:pPr>
      <w:r w:rsidRPr="004E01ED">
        <w:rPr>
          <w:sz w:val="24"/>
          <w:szCs w:val="24"/>
        </w:rPr>
        <w:t xml:space="preserve">Passive surveillance is the primary method used in Pakistan. Spontaneous reporting, as </w:t>
      </w:r>
      <w:r w:rsidRPr="004E01ED">
        <w:rPr>
          <w:sz w:val="24"/>
          <w:szCs w:val="24"/>
        </w:rPr>
        <w:lastRenderedPageBreak/>
        <w:t>the main mechanism for passive surveillance</w:t>
      </w:r>
      <w:r>
        <w:rPr>
          <w:sz w:val="24"/>
          <w:szCs w:val="24"/>
        </w:rPr>
        <w:t>,</w:t>
      </w:r>
      <w:r w:rsidRPr="004E01ED">
        <w:rPr>
          <w:sz w:val="24"/>
          <w:szCs w:val="24"/>
        </w:rPr>
        <w:t xml:space="preserve"> is used to generate signals/alerts of adverse events, which can then be investigated further.</w:t>
      </w:r>
    </w:p>
    <w:p w14:paraId="5CC08527" w14:textId="19E67E58" w:rsidR="00BD617B" w:rsidRPr="00683B8A" w:rsidRDefault="00BD617B" w:rsidP="00683B8A">
      <w:pPr>
        <w:rPr>
          <w:b/>
          <w:bCs/>
          <w:sz w:val="28"/>
          <w:szCs w:val="28"/>
          <w:u w:val="single"/>
        </w:rPr>
      </w:pPr>
      <w:r w:rsidRPr="0074459E">
        <w:rPr>
          <w:b/>
          <w:bCs/>
          <w:sz w:val="28"/>
          <w:szCs w:val="28"/>
        </w:rPr>
        <w:t xml:space="preserve"> </w:t>
      </w:r>
      <w:r w:rsidR="00683B8A" w:rsidRPr="0074459E">
        <w:rPr>
          <w:b/>
          <w:bCs/>
          <w:sz w:val="28"/>
          <w:szCs w:val="28"/>
        </w:rPr>
        <w:t xml:space="preserve">5.2 </w:t>
      </w:r>
      <w:r w:rsidRPr="00683B8A">
        <w:rPr>
          <w:b/>
          <w:bCs/>
          <w:sz w:val="28"/>
          <w:szCs w:val="28"/>
          <w:u w:val="single"/>
        </w:rPr>
        <w:t>Active Surveillance</w:t>
      </w:r>
    </w:p>
    <w:p w14:paraId="6D418B12" w14:textId="0114FC93" w:rsidR="007B5825" w:rsidRDefault="00A46614" w:rsidP="0074459E">
      <w:pPr>
        <w:spacing w:before="120" w:after="120" w:line="360" w:lineRule="auto"/>
        <w:ind w:left="540"/>
        <w:jc w:val="both"/>
        <w:rPr>
          <w:rFonts w:asciiTheme="majorBidi" w:hAnsiTheme="majorBidi" w:cstheme="majorBidi"/>
          <w:color w:val="000000" w:themeColor="text1"/>
          <w:sz w:val="24"/>
          <w:szCs w:val="24"/>
        </w:rPr>
      </w:pPr>
      <w:r w:rsidRPr="00A46614">
        <w:rPr>
          <w:sz w:val="24"/>
          <w:szCs w:val="24"/>
        </w:rPr>
        <w:t xml:space="preserve">Active Surveillance is a process that involves, enhanced or targeted monitoring for certain events or therapeutic goods and seeks to ascertain completely the number of adverse events or adverse drug reactions through a continuous pre-planned process. </w:t>
      </w:r>
      <w:r w:rsidR="00BD617B" w:rsidRPr="00A46614">
        <w:rPr>
          <w:sz w:val="24"/>
          <w:szCs w:val="24"/>
        </w:rPr>
        <w:t xml:space="preserve">Active surveillance, in contrast to passive surveillance, seeks to ascertain completely the number of adverse events via a continuous pre-organized process.  An example of active surveillance is the follow-up of patients treated with a particular drug through a risk management program. </w:t>
      </w:r>
      <w:r w:rsidR="007B5825" w:rsidRPr="00B0455C">
        <w:rPr>
          <w:rFonts w:asciiTheme="majorBidi" w:hAnsiTheme="majorBidi" w:cstheme="majorBidi"/>
          <w:color w:val="000000" w:themeColor="text1"/>
          <w:sz w:val="24"/>
          <w:szCs w:val="24"/>
        </w:rPr>
        <w:t>It can be achieved through Intensive Monitoring Scheme (Sentinel sites) Prescription/ Drug Event Monitoring and Registries</w:t>
      </w:r>
      <w:r w:rsidR="001C237F">
        <w:rPr>
          <w:rFonts w:asciiTheme="majorBidi" w:hAnsiTheme="majorBidi" w:cstheme="majorBidi"/>
          <w:color w:val="000000" w:themeColor="text1"/>
          <w:sz w:val="24"/>
          <w:szCs w:val="24"/>
        </w:rPr>
        <w:t>.</w:t>
      </w:r>
    </w:p>
    <w:p w14:paraId="7C0A5F18" w14:textId="5731787D" w:rsidR="001C237F" w:rsidRPr="00F61177" w:rsidRDefault="001C237F" w:rsidP="0074459E">
      <w:pPr>
        <w:spacing w:before="120" w:after="120" w:line="360" w:lineRule="auto"/>
        <w:ind w:left="540"/>
        <w:rPr>
          <w:i/>
          <w:iCs/>
          <w:sz w:val="24"/>
          <w:szCs w:val="24"/>
        </w:rPr>
      </w:pPr>
      <w:bookmarkStart w:id="50" w:name="_Toc97895902"/>
      <w:r w:rsidRPr="00F61177">
        <w:rPr>
          <w:i/>
          <w:iCs/>
          <w:sz w:val="24"/>
          <w:szCs w:val="24"/>
        </w:rPr>
        <w:t>5.2.1 Intensive Monitoring Schemes (Sentinel Sites)</w:t>
      </w:r>
      <w:bookmarkEnd w:id="50"/>
    </w:p>
    <w:p w14:paraId="34EF1F7B" w14:textId="77777777" w:rsidR="001C237F" w:rsidRPr="00B0455C" w:rsidRDefault="001C237F" w:rsidP="0074459E">
      <w:pPr>
        <w:spacing w:before="120" w:after="120" w:line="360" w:lineRule="auto"/>
        <w:ind w:left="90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Intensive monitoring is a system of record collection in designated areas, e.g. hospital units or by specific healthcare professionals in community practice. The data collection may be undertaken by monitors who attend ward rounds, where they gather information concerning undesirable or unintended events thought by the attending physician to be (potentially) causally related to the medication. Monitoring may also be focused on certain major events that tend to be medicine-related such as hepatic disorders, renal failure, haematological disorders or bleeding. Intensive monitoring may be achieved by reviewing medical records or interviewing patients and/or physicians/pharmacists in a sample of sentinel sites to ensure complete and accurate data on reported adverse events. The selected sites may provide information, such as data from specific patient subgroups that would not be available in a passive spontaneous reporting system.</w:t>
      </w:r>
    </w:p>
    <w:p w14:paraId="54978860" w14:textId="6221A83C" w:rsidR="001C237F" w:rsidRPr="00F61177" w:rsidRDefault="001C237F" w:rsidP="0074459E">
      <w:pPr>
        <w:spacing w:before="120" w:after="120" w:line="360" w:lineRule="auto"/>
        <w:ind w:left="540"/>
        <w:rPr>
          <w:i/>
          <w:iCs/>
          <w:sz w:val="24"/>
          <w:szCs w:val="24"/>
        </w:rPr>
      </w:pPr>
      <w:bookmarkStart w:id="51" w:name="_Toc97895903"/>
      <w:r w:rsidRPr="00F61177">
        <w:rPr>
          <w:i/>
          <w:iCs/>
          <w:sz w:val="24"/>
          <w:szCs w:val="24"/>
        </w:rPr>
        <w:t>5.2.2 Prescription/Drug Event Monitoring</w:t>
      </w:r>
      <w:bookmarkEnd w:id="51"/>
    </w:p>
    <w:p w14:paraId="5457AAC8" w14:textId="77777777" w:rsidR="001C237F" w:rsidRPr="00B0455C" w:rsidRDefault="001C237F" w:rsidP="004568F3">
      <w:pPr>
        <w:spacing w:before="120" w:after="120" w:line="360" w:lineRule="auto"/>
        <w:ind w:left="90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In prescription event monitoring (PEM), patients may be identified from electronic prescription data or automated health insurance claims. A follow-up questionnaire can then be sent to each prescribing physician or patient at pre-specified intervals to obtain outcome information. Information on patient demographics, indication for treatment, duration of therapy (including start date), dosage, clinical events and reasons for discontinuation can be included in the questionnaire. PEM tends to be used as a method to study safety just after product launch. In PEM, there is the opportunity to collect more </w:t>
      </w:r>
      <w:r w:rsidRPr="00B0455C">
        <w:rPr>
          <w:rFonts w:asciiTheme="majorBidi" w:hAnsiTheme="majorBidi" w:cstheme="majorBidi"/>
          <w:color w:val="000000" w:themeColor="text1"/>
          <w:sz w:val="24"/>
          <w:szCs w:val="24"/>
        </w:rPr>
        <w:lastRenderedPageBreak/>
        <w:t xml:space="preserve">detailed information on adverse events from a large number of physicians and/or patients. </w:t>
      </w:r>
    </w:p>
    <w:p w14:paraId="423FA7AD" w14:textId="5C7B2DDA" w:rsidR="001C237F" w:rsidRPr="00F61177" w:rsidRDefault="001C237F" w:rsidP="0074459E">
      <w:pPr>
        <w:spacing w:before="120" w:after="120" w:line="360" w:lineRule="auto"/>
        <w:ind w:left="540"/>
        <w:rPr>
          <w:i/>
          <w:iCs/>
          <w:sz w:val="24"/>
          <w:szCs w:val="24"/>
        </w:rPr>
      </w:pPr>
      <w:bookmarkStart w:id="52" w:name="_Toc97895904"/>
      <w:r w:rsidRPr="00F61177">
        <w:rPr>
          <w:i/>
          <w:iCs/>
          <w:sz w:val="24"/>
          <w:szCs w:val="24"/>
        </w:rPr>
        <w:t>5.2.3 Registries</w:t>
      </w:r>
      <w:bookmarkEnd w:id="52"/>
    </w:p>
    <w:p w14:paraId="1F107CB4" w14:textId="77777777" w:rsidR="001C237F" w:rsidRPr="00B0455C" w:rsidRDefault="001C237F" w:rsidP="0074459E">
      <w:pPr>
        <w:spacing w:before="120" w:after="120" w:line="360" w:lineRule="auto"/>
        <w:ind w:left="900"/>
        <w:jc w:val="both"/>
        <w:rPr>
          <w:rStyle w:val="Emphasis"/>
          <w:rFonts w:asciiTheme="majorBidi" w:hAnsiTheme="majorBidi" w:cstheme="majorBidi"/>
          <w:i w:val="0"/>
          <w:iCs w:val="0"/>
          <w:color w:val="000000" w:themeColor="text1"/>
          <w:sz w:val="24"/>
          <w:szCs w:val="24"/>
        </w:rPr>
      </w:pPr>
      <w:r w:rsidRPr="00B0455C">
        <w:rPr>
          <w:rFonts w:asciiTheme="majorBidi" w:hAnsiTheme="majorBidi" w:cstheme="majorBidi"/>
          <w:color w:val="000000" w:themeColor="text1"/>
          <w:sz w:val="24"/>
          <w:szCs w:val="24"/>
        </w:rPr>
        <w:t>A registry is a list of patients presenting with the same characteristic(s). This characteristic can be a disease (disease registry) or a specific exposure (drug registry). Both types of registries, which only differ by the type of patient data of interest, can collect a battery of information using standardised questionnaires in a prospective fashion. Disease registries, such as registries for blood dyscrasias, severe cutaneous reactions, or congenital malformations can help collect data on drug exposure and other factors associated with a clinical condition. Exposure (drug) registries address populations exposed to drugs of interest (e.g., registry of rheumatoid arthritis patients exposed to biological therapies) to determine if a drug has a special impact on this group of patients. Some exposure (drug) registries address drug exposures in specific populations, such as pregnant women.</w:t>
      </w:r>
    </w:p>
    <w:p w14:paraId="4F2AA118" w14:textId="632DAB5C" w:rsidR="00683B8A" w:rsidRPr="00683B8A" w:rsidRDefault="00683B8A" w:rsidP="00D767A2">
      <w:pPr>
        <w:spacing w:before="120" w:after="120" w:line="360" w:lineRule="auto"/>
        <w:rPr>
          <w:b/>
          <w:bCs/>
          <w:sz w:val="28"/>
          <w:szCs w:val="28"/>
          <w:u w:val="single"/>
        </w:rPr>
      </w:pPr>
      <w:r w:rsidRPr="00D767A2">
        <w:rPr>
          <w:b/>
          <w:bCs/>
          <w:sz w:val="28"/>
          <w:szCs w:val="28"/>
        </w:rPr>
        <w:t xml:space="preserve">5.3 </w:t>
      </w:r>
      <w:r w:rsidR="008E6D77">
        <w:rPr>
          <w:b/>
          <w:bCs/>
          <w:sz w:val="28"/>
          <w:szCs w:val="28"/>
          <w:u w:val="single"/>
        </w:rPr>
        <w:t>Observational Studies</w:t>
      </w:r>
    </w:p>
    <w:p w14:paraId="2592435B" w14:textId="77777777" w:rsidR="001C16E2" w:rsidRPr="00B0455C" w:rsidRDefault="001C16E2" w:rsidP="00D767A2">
      <w:pPr>
        <w:spacing w:before="120" w:after="120" w:line="360" w:lineRule="auto"/>
        <w:ind w:left="54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Traditional epidemiologic methods are a key component in the evaluation of adverse events. There are a number of observational study designs that are useful in validating signals from spontaneous reports, active surveillance programmes or case series. Major types of these designs are cross-sectional studies, case-control studies, and cohort studies (both retrospective and prospective).</w:t>
      </w:r>
    </w:p>
    <w:p w14:paraId="772ED266" w14:textId="64B21228" w:rsidR="001C16E2" w:rsidRPr="00824590" w:rsidRDefault="00BE09FC" w:rsidP="00D767A2">
      <w:pPr>
        <w:spacing w:before="120" w:after="120" w:line="360" w:lineRule="auto"/>
        <w:ind w:left="540"/>
        <w:rPr>
          <w:i/>
          <w:iCs/>
          <w:sz w:val="24"/>
          <w:szCs w:val="24"/>
        </w:rPr>
      </w:pPr>
      <w:bookmarkStart w:id="53" w:name="_Toc97895906"/>
      <w:r w:rsidRPr="00824590">
        <w:rPr>
          <w:i/>
          <w:iCs/>
          <w:sz w:val="24"/>
          <w:szCs w:val="24"/>
        </w:rPr>
        <w:t xml:space="preserve">5.3.1 </w:t>
      </w:r>
      <w:r w:rsidR="001C16E2" w:rsidRPr="00824590">
        <w:rPr>
          <w:i/>
          <w:iCs/>
          <w:sz w:val="24"/>
          <w:szCs w:val="24"/>
        </w:rPr>
        <w:t>Cross-Sectional Studies (Survey)</w:t>
      </w:r>
      <w:bookmarkEnd w:id="53"/>
    </w:p>
    <w:p w14:paraId="5A4A8133" w14:textId="77777777" w:rsidR="001C16E2" w:rsidRPr="00B0455C" w:rsidRDefault="001C16E2" w:rsidP="00D767A2">
      <w:pPr>
        <w:spacing w:before="120" w:after="120" w:line="360" w:lineRule="auto"/>
        <w:ind w:left="90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Data collected on a population of patients at a single point in time (or interval of time) regardless of exposure or disease status constitute a cross-sectional study. These types of studies are primarily used to gather data for surveys or for ecological analyses. These studies are best used to examine the prevalence of disease at a one-time point or to examine trends over time when data for serial time points can be captured. These studies can also be used to examine the crude association between exposure and outcome in ecologic analyses. Cross-sectional studies are best utilised when exposures do not change over time.</w:t>
      </w:r>
    </w:p>
    <w:p w14:paraId="774B5BF6" w14:textId="314FBBE6" w:rsidR="001C16E2" w:rsidRPr="00824590" w:rsidRDefault="00BE09FC" w:rsidP="00D767A2">
      <w:pPr>
        <w:spacing w:before="120" w:after="120" w:line="360" w:lineRule="auto"/>
        <w:ind w:left="540"/>
        <w:rPr>
          <w:i/>
          <w:iCs/>
          <w:sz w:val="24"/>
          <w:szCs w:val="24"/>
        </w:rPr>
      </w:pPr>
      <w:bookmarkStart w:id="54" w:name="_Toc97895907"/>
      <w:r>
        <w:t>5</w:t>
      </w:r>
      <w:r w:rsidRPr="00824590">
        <w:rPr>
          <w:i/>
          <w:iCs/>
          <w:sz w:val="24"/>
          <w:szCs w:val="24"/>
        </w:rPr>
        <w:t xml:space="preserve">.3.2 </w:t>
      </w:r>
      <w:r w:rsidR="001C16E2" w:rsidRPr="00824590">
        <w:rPr>
          <w:i/>
          <w:iCs/>
          <w:sz w:val="24"/>
          <w:szCs w:val="24"/>
        </w:rPr>
        <w:t>Case-Control Study</w:t>
      </w:r>
      <w:bookmarkEnd w:id="54"/>
    </w:p>
    <w:p w14:paraId="2113F5CA" w14:textId="77777777" w:rsidR="001C16E2" w:rsidRPr="00B0455C" w:rsidRDefault="001C16E2" w:rsidP="00D767A2">
      <w:pPr>
        <w:spacing w:before="120" w:after="120" w:line="360" w:lineRule="auto"/>
        <w:ind w:left="90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In a case-control study, cases of disease (or events) are identified and patients from the </w:t>
      </w:r>
      <w:r w:rsidRPr="00B0455C">
        <w:rPr>
          <w:rFonts w:asciiTheme="majorBidi" w:hAnsiTheme="majorBidi" w:cstheme="majorBidi"/>
          <w:color w:val="000000" w:themeColor="text1"/>
          <w:sz w:val="24"/>
          <w:szCs w:val="24"/>
        </w:rPr>
        <w:lastRenderedPageBreak/>
        <w:t>source</w:t>
      </w:r>
      <w:r w:rsidRPr="00B0455C">
        <w:rPr>
          <w:rFonts w:asciiTheme="majorBidi" w:hAnsiTheme="majorBidi" w:cstheme="majorBidi"/>
          <w:color w:val="000000" w:themeColor="text1"/>
          <w:sz w:val="24"/>
          <w:szCs w:val="24"/>
        </w:rPr>
        <w:br/>
        <w:t>a population that gave rise to the cases but who do not have the disease or event of interest at the time of selection are then selected as controls. The odds of exposure are then compared between the two groups. Patients may be identified from an existing database or using a field study approach, in which data are collected specifically for the purpose of the case-control study. If safety information is sought for special populations, the cases and controls may be stratified according to the population of interest (e.g. the older persons, children, pregnant women). Existing large population-based databases are a useful and efficient means of providing needed exposure and medical outcome data in a relatively short period of time. Case-control studies are particularly useful when the goal is to investigate whether there is an association between a medicinal product (or several products) and one specific rare adverse event, as well as to identify multiple risk factors for adverse events. Factors of interest may include conditions such as renal and hepatic dysfunction that might modify the relationship between the exposure to the medicinal product and the adverse event. If all cases of interest (or a well-defined fraction of cases) in the catchment area are captured and the fraction of controls from the source population is known, a case-control study may also provide the absolute incidence rate of the event.</w:t>
      </w:r>
    </w:p>
    <w:p w14:paraId="15C8FEF5" w14:textId="51A5023A" w:rsidR="001C16E2" w:rsidRPr="00824590" w:rsidRDefault="00824590" w:rsidP="00D767A2">
      <w:pPr>
        <w:spacing w:before="120" w:after="120" w:line="360" w:lineRule="auto"/>
        <w:ind w:left="540"/>
        <w:rPr>
          <w:i/>
          <w:iCs/>
          <w:sz w:val="24"/>
          <w:szCs w:val="24"/>
        </w:rPr>
      </w:pPr>
      <w:bookmarkStart w:id="55" w:name="_Toc97895908"/>
      <w:r w:rsidRPr="00824590">
        <w:rPr>
          <w:i/>
          <w:iCs/>
          <w:sz w:val="24"/>
          <w:szCs w:val="24"/>
        </w:rPr>
        <w:t xml:space="preserve">5.3.2 </w:t>
      </w:r>
      <w:r w:rsidR="001C16E2" w:rsidRPr="00824590">
        <w:rPr>
          <w:i/>
          <w:iCs/>
          <w:sz w:val="24"/>
          <w:szCs w:val="24"/>
        </w:rPr>
        <w:t>Cohort Study</w:t>
      </w:r>
      <w:bookmarkEnd w:id="55"/>
    </w:p>
    <w:p w14:paraId="5AE9B5CC" w14:textId="4B3A4607" w:rsidR="001C16E2" w:rsidRPr="00B0455C" w:rsidRDefault="001C16E2" w:rsidP="00D767A2">
      <w:pPr>
        <w:spacing w:before="120" w:after="120" w:line="360" w:lineRule="auto"/>
        <w:ind w:left="90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In a cohort study, a population-at-risk for an event of interest is followed over time for the occurrence of that event. Information on exposure status is known throughout the follow-up period for each study participant. A study participant might be exposed to a medicinal product at one time during follow-up, but unexposed at another time point. Since the population exposure during follow-up is known, incidence rates can be calculated. In many cohort studies involving exposure to medicinal product(s), comparison cohorts of interest are selected on the basis of medication use and followed over time. Cohort studies are useful when there is a need to know the incidence rates of adverse events in addition to the relative risks of adverse events. They are also useful for the evaluation of multiple adverse events within the same study. However, it may be difficult to recruit sufficient numbers of patients who are exposed to a product of interest (such as an orphan medicinal product) or to study very rare outcomes. The identification of patients for cohort studies may come from large automated databases or from data collected specifically for the study at hand. In addition, cohort studies may be used to </w:t>
      </w:r>
      <w:r w:rsidRPr="00B0455C">
        <w:rPr>
          <w:rFonts w:asciiTheme="majorBidi" w:hAnsiTheme="majorBidi" w:cstheme="majorBidi"/>
          <w:color w:val="000000" w:themeColor="text1"/>
          <w:sz w:val="24"/>
          <w:szCs w:val="24"/>
        </w:rPr>
        <w:lastRenderedPageBreak/>
        <w:t>examine safety concerns in special populations (older persons, children, patients with comorbid conditions, pregnant women) through over-sampling of these patients or by stratifying the cohort if sufficient numbers of patients exist</w:t>
      </w:r>
      <w:r w:rsidR="00720783">
        <w:rPr>
          <w:rFonts w:asciiTheme="majorBidi" w:hAnsiTheme="majorBidi" w:cstheme="majorBidi"/>
          <w:color w:val="000000" w:themeColor="text1"/>
          <w:sz w:val="24"/>
          <w:szCs w:val="24"/>
        </w:rPr>
        <w:t>.</w:t>
      </w:r>
    </w:p>
    <w:p w14:paraId="4EADC297" w14:textId="591D4EA6" w:rsidR="00683B8A" w:rsidRPr="00683B8A" w:rsidRDefault="00683B8A" w:rsidP="00D767A2">
      <w:pPr>
        <w:spacing w:before="120" w:after="120" w:line="360" w:lineRule="auto"/>
        <w:rPr>
          <w:b/>
          <w:bCs/>
          <w:sz w:val="28"/>
          <w:szCs w:val="28"/>
          <w:u w:val="single"/>
        </w:rPr>
      </w:pPr>
      <w:r w:rsidRPr="00D767A2">
        <w:rPr>
          <w:b/>
          <w:bCs/>
          <w:sz w:val="28"/>
          <w:szCs w:val="28"/>
        </w:rPr>
        <w:t xml:space="preserve">5.4 </w:t>
      </w:r>
      <w:r w:rsidR="002E3E9E">
        <w:rPr>
          <w:b/>
          <w:bCs/>
          <w:sz w:val="28"/>
          <w:szCs w:val="28"/>
          <w:u w:val="single"/>
        </w:rPr>
        <w:t>Clinical Trials</w:t>
      </w:r>
    </w:p>
    <w:p w14:paraId="66E74AAF" w14:textId="31E93CC1" w:rsidR="001C16E2" w:rsidRPr="00B0455C" w:rsidRDefault="001C16E2" w:rsidP="00D767A2">
      <w:pPr>
        <w:spacing w:before="120" w:after="120" w:line="360" w:lineRule="auto"/>
        <w:ind w:left="54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When important risks are identified from pre-approval clinical trials, further clinical trials might be called for to evaluate the mechanism of action for the adverse reaction. If PASS is the </w:t>
      </w:r>
      <w:r w:rsidRPr="00B0455C">
        <w:rPr>
          <w:rFonts w:asciiTheme="majorBidi" w:hAnsiTheme="majorBidi" w:cstheme="majorBidi"/>
          <w:sz w:val="24"/>
          <w:szCs w:val="24"/>
        </w:rPr>
        <w:t xml:space="preserve">interventional study of Phase IV origin </w:t>
      </w:r>
      <w:r w:rsidRPr="00B0455C">
        <w:rPr>
          <w:rFonts w:asciiTheme="majorBidi" w:hAnsiTheme="majorBidi" w:cstheme="majorBidi"/>
          <w:color w:val="000000" w:themeColor="text1"/>
          <w:sz w:val="24"/>
          <w:szCs w:val="24"/>
        </w:rPr>
        <w:t xml:space="preserve">then provisions of </w:t>
      </w:r>
      <w:hyperlink r:id="rId52" w:history="1">
        <w:r w:rsidRPr="008E569A">
          <w:rPr>
            <w:rStyle w:val="Hyperlink"/>
            <w:rFonts w:asciiTheme="majorBidi" w:hAnsiTheme="majorBidi" w:cstheme="majorBidi"/>
            <w:sz w:val="24"/>
            <w:szCs w:val="24"/>
          </w:rPr>
          <w:t>Bio-Study Rules, 2017</w:t>
        </w:r>
      </w:hyperlink>
      <w:r w:rsidRPr="00B0455C">
        <w:rPr>
          <w:rFonts w:asciiTheme="majorBidi" w:hAnsiTheme="majorBidi" w:cstheme="majorBidi"/>
          <w:color w:val="000000" w:themeColor="text1"/>
          <w:sz w:val="24"/>
          <w:szCs w:val="24"/>
        </w:rPr>
        <w:t xml:space="preserve"> shall apply. In some instances, pharmacodynamics and pharmacokinetic studies might be conducted to determine whether a particular dosing regimen can put patients at an increased risk of adverse events. Genetic testing may also provide clues about which group of patients might be at an increased risk of adverse reactions. Furthermore, based on the pharmacological properties and the expected use of the medicinal product in clinical practice, conducting specific studies to investigate potential drug-drug interactions and food-drug interactions might be called for. These studies may include population pharmacokinetic studies and therapeutic drug monitoring in patients and normal volunteers.</w:t>
      </w:r>
    </w:p>
    <w:p w14:paraId="52290466" w14:textId="77777777" w:rsidR="001C16E2" w:rsidRPr="00B0455C" w:rsidRDefault="001C16E2" w:rsidP="00D767A2">
      <w:pPr>
        <w:spacing w:before="120" w:after="120" w:line="360" w:lineRule="auto"/>
        <w:ind w:left="540"/>
        <w:jc w:val="both"/>
        <w:rPr>
          <w:rStyle w:val="Emphasis"/>
          <w:rFonts w:asciiTheme="majorBidi" w:hAnsiTheme="majorBidi" w:cstheme="majorBidi"/>
          <w:i w:val="0"/>
          <w:iCs w:val="0"/>
          <w:color w:val="000000" w:themeColor="text1"/>
          <w:sz w:val="24"/>
          <w:szCs w:val="24"/>
        </w:rPr>
      </w:pPr>
      <w:r w:rsidRPr="00B0455C">
        <w:rPr>
          <w:rFonts w:asciiTheme="majorBidi" w:hAnsiTheme="majorBidi" w:cstheme="majorBidi"/>
          <w:color w:val="000000" w:themeColor="text1"/>
          <w:sz w:val="24"/>
          <w:szCs w:val="24"/>
        </w:rPr>
        <w:t>Sometimes, potential risks or unforeseen benefits in special populations might be identified from preapproval clinical trials, but cannot be fully quantified due to small sample sizes or the exclusion of subpopulations of patients from these clinical studies. These populations might include older persons, pregnant women, children or patients with renal or hepatic disorders. Children, older persons and persons with co-morbid conditions may metabolise medicinal products differently than patients typically enrolled in clinical trials. Further clinical trials may be used to determine and to quantify the magnitude of the risk (or benefit) in such populations.</w:t>
      </w:r>
    </w:p>
    <w:p w14:paraId="0A9A9B51" w14:textId="4FAA0F78" w:rsidR="001C16E2" w:rsidRPr="002E3E9E" w:rsidRDefault="00683B8A" w:rsidP="00D767A2">
      <w:pPr>
        <w:spacing w:before="120" w:after="120" w:line="360" w:lineRule="auto"/>
        <w:rPr>
          <w:b/>
          <w:sz w:val="28"/>
          <w:szCs w:val="28"/>
          <w:u w:val="single"/>
        </w:rPr>
      </w:pPr>
      <w:bookmarkStart w:id="56" w:name="_Toc97895910"/>
      <w:r w:rsidRPr="00DB5054">
        <w:rPr>
          <w:b/>
          <w:sz w:val="28"/>
          <w:szCs w:val="28"/>
        </w:rPr>
        <w:t xml:space="preserve">5.5 </w:t>
      </w:r>
      <w:r w:rsidR="001C16E2" w:rsidRPr="002E3E9E">
        <w:rPr>
          <w:b/>
          <w:sz w:val="28"/>
          <w:szCs w:val="28"/>
          <w:u w:val="single"/>
        </w:rPr>
        <w:t>Drug Utilization Studies</w:t>
      </w:r>
      <w:bookmarkEnd w:id="56"/>
    </w:p>
    <w:p w14:paraId="37101EF7" w14:textId="4F4CDC06" w:rsidR="00E30BD8" w:rsidRPr="00EE14E2" w:rsidRDefault="001C16E2" w:rsidP="00EE14E2">
      <w:pPr>
        <w:spacing w:before="120" w:after="120" w:line="360" w:lineRule="auto"/>
        <w:ind w:left="540"/>
        <w:jc w:val="both"/>
        <w:rPr>
          <w:rFonts w:asciiTheme="majorBidi" w:hAnsiTheme="majorBidi" w:cstheme="majorBidi"/>
          <w:b/>
          <w:iCs/>
          <w:color w:val="000000" w:themeColor="text1"/>
          <w:sz w:val="24"/>
          <w:szCs w:val="24"/>
        </w:rPr>
      </w:pPr>
      <w:r w:rsidRPr="00B0455C">
        <w:rPr>
          <w:rFonts w:asciiTheme="majorBidi" w:hAnsiTheme="majorBidi" w:cstheme="majorBidi"/>
          <w:color w:val="000000" w:themeColor="text1"/>
          <w:sz w:val="24"/>
          <w:szCs w:val="24"/>
        </w:rPr>
        <w:t xml:space="preserve">Drug utilisation studies (DUS) describe how a medicinal product is prescribed and used in routine clinical practice in large populations, including older persons, children, pregnant women or patients with hepatic or renal dysfunction. These populations are often not eligible for inclusion in randomised clinical trials. Stratification by age, sex, concomitant medication and other characteristics allows a comprehensive characterisation of treated patients, including the distribution of those factors that may influence clinical, social, and economic </w:t>
      </w:r>
      <w:r w:rsidRPr="00B0455C">
        <w:rPr>
          <w:rFonts w:asciiTheme="majorBidi" w:hAnsiTheme="majorBidi" w:cstheme="majorBidi"/>
          <w:color w:val="000000" w:themeColor="text1"/>
          <w:sz w:val="24"/>
          <w:szCs w:val="24"/>
        </w:rPr>
        <w:lastRenderedPageBreak/>
        <w:t xml:space="preserve">outcomes. Denominator data may be derived from these studies to determine rates of adverse events. DUS has been used to describe the effect of regulatory actions and media attention on the use of medicinal products in everyday medical practice, to examine the relationship between recommended and actual clinical practice, to monitor medication errors and to determine whether a medicinal product has the potential for abuse by examining whether patients are taking escalating dose regimens or whether there is evidence of inappropriate repeat prescribing. DUS are particularly useful as a first step in the design of post-authorisation safety studies, to obtain a sufficient understanding of the characteristics of the user population of the medicinal product under study and the determination of the most appropriate comparator as well as important potential confounders to consider. They are also useful to provide a first indication of the level of public health impact anticipated if there is a true causal association between the exposure of interest and an adverse event, for example given the size of the population exposed, the extent of off-label use, and so on. </w:t>
      </w:r>
    </w:p>
    <w:p w14:paraId="34DE5B93" w14:textId="343453D0" w:rsidR="00BD617B" w:rsidRDefault="00BD617B" w:rsidP="00DA7FBE">
      <w:pPr>
        <w:rPr>
          <w:b/>
          <w:sz w:val="28"/>
          <w:szCs w:val="28"/>
          <w:u w:val="single"/>
        </w:rPr>
      </w:pPr>
      <w:r w:rsidRPr="00014D45">
        <w:rPr>
          <w:b/>
          <w:sz w:val="28"/>
          <w:szCs w:val="28"/>
        </w:rPr>
        <w:t>5.</w:t>
      </w:r>
      <w:r w:rsidR="00DA7FBE" w:rsidRPr="00014D45">
        <w:rPr>
          <w:b/>
          <w:sz w:val="28"/>
          <w:szCs w:val="28"/>
        </w:rPr>
        <w:t>6</w:t>
      </w:r>
      <w:r w:rsidRPr="00014D45">
        <w:rPr>
          <w:b/>
          <w:sz w:val="28"/>
          <w:szCs w:val="28"/>
        </w:rPr>
        <w:t xml:space="preserve"> </w:t>
      </w:r>
      <w:r w:rsidR="00DA7FBE">
        <w:rPr>
          <w:b/>
          <w:sz w:val="28"/>
          <w:szCs w:val="28"/>
          <w:u w:val="single"/>
        </w:rPr>
        <w:t>Structure in Pakistan.</w:t>
      </w:r>
    </w:p>
    <w:p w14:paraId="568016BF" w14:textId="2C312C66" w:rsidR="00DA7FBE" w:rsidRDefault="00DA7FBE" w:rsidP="00DA7FBE">
      <w:pPr>
        <w:rPr>
          <w:b/>
          <w:sz w:val="28"/>
          <w:szCs w:val="28"/>
          <w:u w:val="single"/>
        </w:rPr>
      </w:pPr>
    </w:p>
    <w:p w14:paraId="4104BF36" w14:textId="717CC369" w:rsidR="00127D61" w:rsidRDefault="00DA7FBE" w:rsidP="00CA647F">
      <w:pPr>
        <w:spacing w:before="120" w:after="120" w:line="360" w:lineRule="auto"/>
        <w:ind w:left="540"/>
        <w:jc w:val="both"/>
        <w:rPr>
          <w:bCs/>
          <w:sz w:val="24"/>
          <w:szCs w:val="24"/>
        </w:rPr>
      </w:pPr>
      <w:r w:rsidRPr="00DA7FBE">
        <w:rPr>
          <w:bCs/>
          <w:sz w:val="24"/>
          <w:szCs w:val="24"/>
        </w:rPr>
        <w:t>In Pakistan</w:t>
      </w:r>
      <w:r w:rsidR="006A755B">
        <w:rPr>
          <w:bCs/>
          <w:sz w:val="24"/>
          <w:szCs w:val="24"/>
        </w:rPr>
        <w:t>,</w:t>
      </w:r>
      <w:r w:rsidRPr="00DA7FBE">
        <w:rPr>
          <w:bCs/>
          <w:sz w:val="24"/>
          <w:szCs w:val="24"/>
        </w:rPr>
        <w:t xml:space="preserve"> the routine method used for data collection is spontan</w:t>
      </w:r>
      <w:r w:rsidR="006A755B">
        <w:rPr>
          <w:bCs/>
          <w:sz w:val="24"/>
          <w:szCs w:val="24"/>
        </w:rPr>
        <w:t>e</w:t>
      </w:r>
      <w:r w:rsidRPr="00DA7FBE">
        <w:rPr>
          <w:bCs/>
          <w:sz w:val="24"/>
          <w:szCs w:val="24"/>
        </w:rPr>
        <w:t>ous reporting</w:t>
      </w:r>
      <w:r>
        <w:rPr>
          <w:bCs/>
          <w:sz w:val="24"/>
          <w:szCs w:val="24"/>
        </w:rPr>
        <w:t xml:space="preserve"> wherein the healthcare professionals voluntar</w:t>
      </w:r>
      <w:r w:rsidR="006A755B">
        <w:rPr>
          <w:bCs/>
          <w:sz w:val="24"/>
          <w:szCs w:val="24"/>
        </w:rPr>
        <w:t>il</w:t>
      </w:r>
      <w:r>
        <w:rPr>
          <w:bCs/>
          <w:sz w:val="24"/>
          <w:szCs w:val="24"/>
        </w:rPr>
        <w:t>y report the ADRs or AE</w:t>
      </w:r>
      <w:r w:rsidR="006A755B">
        <w:rPr>
          <w:bCs/>
          <w:sz w:val="24"/>
          <w:szCs w:val="24"/>
        </w:rPr>
        <w:t>s or AEFIs</w:t>
      </w:r>
      <w:r>
        <w:rPr>
          <w:bCs/>
          <w:sz w:val="24"/>
          <w:szCs w:val="24"/>
        </w:rPr>
        <w:t xml:space="preserve"> to NPC</w:t>
      </w:r>
      <w:r w:rsidR="006A755B">
        <w:rPr>
          <w:bCs/>
          <w:sz w:val="24"/>
          <w:szCs w:val="24"/>
        </w:rPr>
        <w:t xml:space="preserve">, </w:t>
      </w:r>
      <w:r>
        <w:rPr>
          <w:bCs/>
          <w:sz w:val="24"/>
          <w:szCs w:val="24"/>
        </w:rPr>
        <w:t>PPC</w:t>
      </w:r>
      <w:r w:rsidR="006A755B">
        <w:rPr>
          <w:bCs/>
          <w:sz w:val="24"/>
          <w:szCs w:val="24"/>
        </w:rPr>
        <w:t>s or PHPs</w:t>
      </w:r>
      <w:r w:rsidRPr="00DA7FBE">
        <w:rPr>
          <w:bCs/>
          <w:sz w:val="24"/>
          <w:szCs w:val="24"/>
        </w:rPr>
        <w:t xml:space="preserve">. </w:t>
      </w:r>
      <w:r>
        <w:rPr>
          <w:bCs/>
          <w:sz w:val="24"/>
          <w:szCs w:val="24"/>
        </w:rPr>
        <w:t>In some instances, the Clinical Pharmacy &amp; Pharmacovigilance Officers</w:t>
      </w:r>
      <w:r w:rsidR="006A755B">
        <w:rPr>
          <w:bCs/>
          <w:sz w:val="24"/>
          <w:szCs w:val="24"/>
        </w:rPr>
        <w:t xml:space="preserve"> (CPPOs)</w:t>
      </w:r>
      <w:r>
        <w:rPr>
          <w:bCs/>
          <w:sz w:val="24"/>
          <w:szCs w:val="24"/>
        </w:rPr>
        <w:t xml:space="preserve"> in hospitals may be advised to actively report the ADRs or AE</w:t>
      </w:r>
      <w:r w:rsidR="006A755B">
        <w:rPr>
          <w:bCs/>
          <w:sz w:val="24"/>
          <w:szCs w:val="24"/>
        </w:rPr>
        <w:t>s, especially with high alert medications or other drugs</w:t>
      </w:r>
      <w:r>
        <w:rPr>
          <w:bCs/>
          <w:sz w:val="24"/>
          <w:szCs w:val="24"/>
        </w:rPr>
        <w:t>.</w:t>
      </w:r>
      <w:r w:rsidR="006A755B" w:rsidRPr="006A755B">
        <w:rPr>
          <w:bCs/>
          <w:sz w:val="24"/>
          <w:szCs w:val="24"/>
        </w:rPr>
        <w:t xml:space="preserve"> </w:t>
      </w:r>
      <w:r w:rsidR="006A755B">
        <w:rPr>
          <w:bCs/>
          <w:sz w:val="24"/>
          <w:szCs w:val="24"/>
        </w:rPr>
        <w:t xml:space="preserve">Similarly, as per Rule 7 (4) and 7 (6) of Pharmacovigilance Rules, 2022 public health programmes have to conduct </w:t>
      </w:r>
      <w:proofErr w:type="spellStart"/>
      <w:r w:rsidR="006A755B">
        <w:rPr>
          <w:bCs/>
          <w:sz w:val="24"/>
          <w:szCs w:val="24"/>
        </w:rPr>
        <w:t>pharmacoepidemiological</w:t>
      </w:r>
      <w:proofErr w:type="spellEnd"/>
      <w:r w:rsidR="006A755B">
        <w:rPr>
          <w:bCs/>
          <w:sz w:val="24"/>
          <w:szCs w:val="24"/>
        </w:rPr>
        <w:t xml:space="preserve"> studies and cohort event monitoring studies in Pakistan with the drug used in that programme.</w:t>
      </w:r>
    </w:p>
    <w:p w14:paraId="28B9520E" w14:textId="568E72B1" w:rsidR="00DA7FBE" w:rsidRDefault="006A755B" w:rsidP="00CA647F">
      <w:pPr>
        <w:spacing w:before="120" w:after="120" w:line="360" w:lineRule="auto"/>
        <w:ind w:left="540"/>
        <w:jc w:val="both"/>
        <w:rPr>
          <w:rFonts w:asciiTheme="majorBidi" w:hAnsiTheme="majorBidi" w:cstheme="majorBidi"/>
          <w:color w:val="000000" w:themeColor="text1"/>
          <w:sz w:val="24"/>
          <w:szCs w:val="24"/>
        </w:rPr>
      </w:pPr>
      <w:r>
        <w:rPr>
          <w:bCs/>
          <w:sz w:val="24"/>
          <w:szCs w:val="24"/>
        </w:rPr>
        <w:t xml:space="preserve">As </w:t>
      </w:r>
      <w:r w:rsidR="00DA7FBE">
        <w:rPr>
          <w:bCs/>
          <w:sz w:val="24"/>
          <w:szCs w:val="24"/>
        </w:rPr>
        <w:t xml:space="preserve">per Rule 11 (7 ) of </w:t>
      </w:r>
      <w:hyperlink r:id="rId53" w:history="1">
        <w:r w:rsidR="00DA7FBE" w:rsidRPr="003F31CD">
          <w:rPr>
            <w:rStyle w:val="Hyperlink"/>
            <w:bCs/>
            <w:sz w:val="24"/>
            <w:szCs w:val="24"/>
          </w:rPr>
          <w:t>Pharmacovigilance Rules, 2022</w:t>
        </w:r>
      </w:hyperlink>
      <w:r w:rsidR="00DA7FBE">
        <w:rPr>
          <w:bCs/>
          <w:sz w:val="24"/>
          <w:szCs w:val="24"/>
        </w:rPr>
        <w:t>, registration holders could either voluntarily in</w:t>
      </w:r>
      <w:r>
        <w:rPr>
          <w:bCs/>
          <w:sz w:val="24"/>
          <w:szCs w:val="24"/>
        </w:rPr>
        <w:t>i</w:t>
      </w:r>
      <w:r w:rsidR="00DA7FBE">
        <w:rPr>
          <w:bCs/>
          <w:sz w:val="24"/>
          <w:szCs w:val="24"/>
        </w:rPr>
        <w:t xml:space="preserve">tiate the </w:t>
      </w:r>
      <w:r w:rsidR="00DA7FBE" w:rsidRPr="00B0455C">
        <w:rPr>
          <w:rFonts w:asciiTheme="majorBidi" w:hAnsiTheme="majorBidi" w:cstheme="majorBidi"/>
          <w:color w:val="000000" w:themeColor="text1"/>
          <w:sz w:val="24"/>
          <w:szCs w:val="24"/>
        </w:rPr>
        <w:t>Post-Authorisation Safety Study (PASS)</w:t>
      </w:r>
      <w:r w:rsidR="00DA7FBE">
        <w:rPr>
          <w:rFonts w:asciiTheme="majorBidi" w:hAnsiTheme="majorBidi" w:cstheme="majorBidi"/>
          <w:color w:val="000000" w:themeColor="text1"/>
          <w:sz w:val="24"/>
          <w:szCs w:val="24"/>
        </w:rPr>
        <w:t xml:space="preserve"> or it may be imposed by </w:t>
      </w:r>
      <w:r>
        <w:rPr>
          <w:rFonts w:asciiTheme="majorBidi" w:hAnsiTheme="majorBidi" w:cstheme="majorBidi"/>
          <w:color w:val="000000" w:themeColor="text1"/>
          <w:sz w:val="24"/>
          <w:szCs w:val="24"/>
        </w:rPr>
        <w:t xml:space="preserve">the </w:t>
      </w:r>
      <w:r w:rsidR="00DA7FBE">
        <w:rPr>
          <w:rFonts w:asciiTheme="majorBidi" w:hAnsiTheme="majorBidi" w:cstheme="majorBidi"/>
          <w:color w:val="000000" w:themeColor="text1"/>
          <w:sz w:val="24"/>
          <w:szCs w:val="24"/>
        </w:rPr>
        <w:t xml:space="preserve">registration board or PRAEC. The </w:t>
      </w:r>
      <w:r>
        <w:rPr>
          <w:rFonts w:asciiTheme="majorBidi" w:hAnsiTheme="majorBidi" w:cstheme="majorBidi"/>
          <w:color w:val="000000" w:themeColor="text1"/>
          <w:sz w:val="24"/>
          <w:szCs w:val="24"/>
        </w:rPr>
        <w:t xml:space="preserve">said </w:t>
      </w:r>
      <w:r w:rsidR="00DA7FBE">
        <w:rPr>
          <w:rFonts w:asciiTheme="majorBidi" w:hAnsiTheme="majorBidi" w:cstheme="majorBidi"/>
          <w:color w:val="000000" w:themeColor="text1"/>
          <w:sz w:val="24"/>
          <w:szCs w:val="24"/>
        </w:rPr>
        <w:t xml:space="preserve">rule is reproduced as under: </w:t>
      </w:r>
    </w:p>
    <w:p w14:paraId="4D318324" w14:textId="77777777" w:rsidR="00DA7FBE" w:rsidRPr="00B0455C" w:rsidRDefault="00DA7FBE" w:rsidP="00CA647F">
      <w:pPr>
        <w:pStyle w:val="NormalWeb"/>
        <w:tabs>
          <w:tab w:val="left" w:pos="1530"/>
          <w:tab w:val="left" w:pos="1800"/>
        </w:tabs>
        <w:spacing w:before="120" w:beforeAutospacing="0" w:after="120" w:afterAutospacing="0" w:line="360" w:lineRule="auto"/>
        <w:ind w:left="810"/>
        <w:jc w:val="both"/>
        <w:rPr>
          <w:rFonts w:asciiTheme="majorBidi" w:hAnsiTheme="majorBidi" w:cstheme="majorBidi"/>
          <w:i/>
          <w:iCs/>
          <w:color w:val="000000" w:themeColor="text1"/>
        </w:rPr>
      </w:pPr>
      <w:r w:rsidRPr="00B0455C">
        <w:rPr>
          <w:rFonts w:asciiTheme="majorBidi" w:hAnsiTheme="majorBidi" w:cstheme="majorBidi"/>
          <w:i/>
          <w:iCs/>
          <w:lang w:val="en-GB"/>
        </w:rPr>
        <w:t>“Registration holder shall conduct voluntarily non-interventional specific studies on the efficacy and safety if it is found that there is risk associated with the drug or if it is imposed by the Registration Board on the recommendation of PRAEC. Post-authorization safety and efficacy study can also be initiated in the case if it is laid down as a condition of registration for the specific drug.”</w:t>
      </w:r>
    </w:p>
    <w:p w14:paraId="2582257D" w14:textId="3E7C173C" w:rsidR="006A755B" w:rsidRDefault="00DA7FBE" w:rsidP="00CA647F">
      <w:pPr>
        <w:spacing w:before="120" w:after="120" w:line="360" w:lineRule="auto"/>
        <w:ind w:left="540"/>
        <w:jc w:val="both"/>
        <w:rPr>
          <w:rFonts w:asciiTheme="majorBidi" w:hAnsiTheme="majorBidi" w:cstheme="majorBidi"/>
          <w:bCs/>
          <w:i/>
          <w:iCs/>
          <w:color w:val="000000" w:themeColor="text1"/>
          <w:sz w:val="24"/>
          <w:szCs w:val="24"/>
        </w:rPr>
      </w:pPr>
      <w:proofErr w:type="gramStart"/>
      <w:r w:rsidRPr="00DA7FBE">
        <w:rPr>
          <w:rFonts w:asciiTheme="majorBidi" w:hAnsiTheme="majorBidi" w:cstheme="majorBidi"/>
          <w:color w:val="000000" w:themeColor="text1"/>
          <w:sz w:val="24"/>
          <w:szCs w:val="24"/>
        </w:rPr>
        <w:t>Lik</w:t>
      </w:r>
      <w:r w:rsidR="006A755B">
        <w:rPr>
          <w:rFonts w:asciiTheme="majorBidi" w:hAnsiTheme="majorBidi" w:cstheme="majorBidi"/>
          <w:color w:val="000000" w:themeColor="text1"/>
          <w:sz w:val="24"/>
          <w:szCs w:val="24"/>
        </w:rPr>
        <w:t>e</w:t>
      </w:r>
      <w:r w:rsidRPr="00DA7FBE">
        <w:rPr>
          <w:rFonts w:asciiTheme="majorBidi" w:hAnsiTheme="majorBidi" w:cstheme="majorBidi"/>
          <w:color w:val="000000" w:themeColor="text1"/>
          <w:sz w:val="24"/>
          <w:szCs w:val="24"/>
        </w:rPr>
        <w:t>wise,  Pharmacovigilance</w:t>
      </w:r>
      <w:proofErr w:type="gramEnd"/>
      <w:r w:rsidRPr="00DA7FBE">
        <w:rPr>
          <w:rFonts w:asciiTheme="majorBidi" w:hAnsiTheme="majorBidi" w:cstheme="majorBidi"/>
          <w:color w:val="000000" w:themeColor="text1"/>
          <w:sz w:val="24"/>
          <w:szCs w:val="24"/>
        </w:rPr>
        <w:t xml:space="preserve"> Risk Assessment Expert Committee (PRAEC) under Rule. 10 </w:t>
      </w:r>
      <w:r w:rsidRPr="00DA7FBE">
        <w:rPr>
          <w:rFonts w:asciiTheme="majorBidi" w:hAnsiTheme="majorBidi" w:cstheme="majorBidi"/>
          <w:color w:val="000000" w:themeColor="text1"/>
          <w:sz w:val="24"/>
          <w:szCs w:val="24"/>
        </w:rPr>
        <w:lastRenderedPageBreak/>
        <w:t xml:space="preserve">(1) (f) of the </w:t>
      </w:r>
      <w:hyperlink r:id="rId54" w:history="1">
        <w:r w:rsidRPr="003F31CD">
          <w:rPr>
            <w:rStyle w:val="Hyperlink"/>
            <w:rFonts w:asciiTheme="majorBidi" w:hAnsiTheme="majorBidi" w:cstheme="majorBidi"/>
            <w:sz w:val="24"/>
            <w:szCs w:val="24"/>
          </w:rPr>
          <w:t>Pharmacovigilance Rules</w:t>
        </w:r>
        <w:r w:rsidR="00501EAA" w:rsidRPr="003F31CD">
          <w:rPr>
            <w:rStyle w:val="Hyperlink"/>
            <w:rFonts w:asciiTheme="majorBidi" w:hAnsiTheme="majorBidi" w:cstheme="majorBidi"/>
            <w:sz w:val="24"/>
            <w:szCs w:val="24"/>
          </w:rPr>
          <w:t>, 2022</w:t>
        </w:r>
      </w:hyperlink>
      <w:r w:rsidRPr="00DA7FBE">
        <w:rPr>
          <w:rFonts w:asciiTheme="majorBidi" w:hAnsiTheme="majorBidi" w:cstheme="majorBidi"/>
          <w:color w:val="000000" w:themeColor="text1"/>
          <w:sz w:val="24"/>
          <w:szCs w:val="24"/>
        </w:rPr>
        <w:t xml:space="preserve"> may </w:t>
      </w:r>
      <w:r w:rsidRPr="00DA7FBE">
        <w:rPr>
          <w:rFonts w:asciiTheme="majorBidi" w:hAnsiTheme="majorBidi" w:cstheme="majorBidi"/>
          <w:i/>
          <w:iCs/>
          <w:color w:val="000000" w:themeColor="text1"/>
          <w:sz w:val="24"/>
          <w:szCs w:val="24"/>
        </w:rPr>
        <w:t xml:space="preserve">also recommend to the Registration Board to impose obligations on registration holder to conduct post-authorization safety and efficacy studies </w:t>
      </w:r>
      <w:r w:rsidRPr="00DA7FBE">
        <w:rPr>
          <w:rFonts w:asciiTheme="majorBidi" w:hAnsiTheme="majorBidi" w:cstheme="majorBidi"/>
          <w:bCs/>
          <w:i/>
          <w:iCs/>
          <w:color w:val="000000" w:themeColor="text1"/>
          <w:sz w:val="24"/>
          <w:szCs w:val="24"/>
        </w:rPr>
        <w:t>if it is found that during the evaluation of data, there is a safety concern with the use of the drug.</w:t>
      </w:r>
    </w:p>
    <w:p w14:paraId="73144500" w14:textId="3BA0694B" w:rsidR="00127D61" w:rsidRDefault="006A755B" w:rsidP="00CA647F">
      <w:pPr>
        <w:spacing w:before="120" w:after="120" w:line="360" w:lineRule="auto"/>
        <w:ind w:left="540"/>
        <w:jc w:val="both"/>
        <w:rPr>
          <w:bCs/>
          <w:sz w:val="24"/>
          <w:szCs w:val="24"/>
        </w:rPr>
      </w:pPr>
      <w:r>
        <w:rPr>
          <w:bCs/>
          <w:sz w:val="24"/>
          <w:szCs w:val="24"/>
        </w:rPr>
        <w:t xml:space="preserve">Further details regarding </w:t>
      </w:r>
      <w:r w:rsidR="002F6592">
        <w:rPr>
          <w:bCs/>
          <w:sz w:val="24"/>
          <w:szCs w:val="24"/>
        </w:rPr>
        <w:t>Post</w:t>
      </w:r>
      <w:r>
        <w:rPr>
          <w:bCs/>
          <w:sz w:val="24"/>
          <w:szCs w:val="24"/>
        </w:rPr>
        <w:t>-</w:t>
      </w:r>
      <w:r w:rsidR="002F6592">
        <w:rPr>
          <w:bCs/>
          <w:sz w:val="24"/>
          <w:szCs w:val="24"/>
        </w:rPr>
        <w:t xml:space="preserve">Authorization Studies </w:t>
      </w:r>
      <w:r>
        <w:rPr>
          <w:bCs/>
          <w:sz w:val="24"/>
          <w:szCs w:val="24"/>
        </w:rPr>
        <w:t xml:space="preserve">conducted by Registration holders in Pakistan could be found in Module 7 of </w:t>
      </w:r>
      <w:hyperlink r:id="rId55" w:history="1">
        <w:r w:rsidRPr="002F6592">
          <w:rPr>
            <w:rStyle w:val="Hyperlink"/>
            <w:bCs/>
            <w:sz w:val="24"/>
            <w:szCs w:val="24"/>
          </w:rPr>
          <w:t>“Guidelines on Good Pharmacovigilance Practices for Registration Holders”.</w:t>
        </w:r>
      </w:hyperlink>
    </w:p>
    <w:p w14:paraId="309DF53F" w14:textId="77777777" w:rsidR="00DA7FBE" w:rsidRPr="00DA7FBE" w:rsidRDefault="00DA7FBE" w:rsidP="00DA7FBE">
      <w:pPr>
        <w:rPr>
          <w:bCs/>
          <w:sz w:val="24"/>
          <w:szCs w:val="24"/>
        </w:rPr>
      </w:pPr>
    </w:p>
    <w:p w14:paraId="2BE8B8DF" w14:textId="77777777" w:rsidR="00BD617B" w:rsidRDefault="00BD617B">
      <w:pPr>
        <w:widowControl/>
        <w:spacing w:before="120" w:after="120" w:line="360" w:lineRule="auto"/>
        <w:jc w:val="both"/>
        <w:rPr>
          <w:bCs/>
          <w:sz w:val="24"/>
          <w:szCs w:val="24"/>
        </w:rPr>
      </w:pPr>
      <w:r>
        <w:rPr>
          <w:bCs/>
          <w:sz w:val="24"/>
          <w:szCs w:val="24"/>
        </w:rPr>
        <w:br w:type="page"/>
      </w:r>
    </w:p>
    <w:tbl>
      <w:tblPr>
        <w:tblStyle w:val="TableGrid"/>
        <w:tblW w:w="0" w:type="auto"/>
        <w:tblLook w:val="04A0" w:firstRow="1" w:lastRow="0" w:firstColumn="1" w:lastColumn="0" w:noHBand="0" w:noVBand="1"/>
      </w:tblPr>
      <w:tblGrid>
        <w:gridCol w:w="9350"/>
      </w:tblGrid>
      <w:tr w:rsidR="00BD617B" w14:paraId="600E4052" w14:textId="77777777" w:rsidTr="00BD617B">
        <w:tc>
          <w:tcPr>
            <w:tcW w:w="9350" w:type="dxa"/>
            <w:shd w:val="clear" w:color="auto" w:fill="00B0F0"/>
          </w:tcPr>
          <w:p w14:paraId="24A16E39" w14:textId="7BAC8687" w:rsidR="00BD617B" w:rsidRPr="00BD617B" w:rsidRDefault="00BD617B" w:rsidP="00BD617B">
            <w:pPr>
              <w:jc w:val="center"/>
              <w:rPr>
                <w:b/>
                <w:bCs/>
              </w:rPr>
            </w:pPr>
            <w:r w:rsidRPr="0096591E">
              <w:rPr>
                <w:b/>
                <w:bCs/>
                <w:sz w:val="32"/>
                <w:szCs w:val="32"/>
              </w:rPr>
              <w:lastRenderedPageBreak/>
              <w:t>CHAPTER 6</w:t>
            </w:r>
          </w:p>
        </w:tc>
      </w:tr>
    </w:tbl>
    <w:p w14:paraId="5BBF4101" w14:textId="77777777" w:rsidR="00BD617B" w:rsidRPr="00BD617B" w:rsidRDefault="00BD617B" w:rsidP="00BD617B"/>
    <w:p w14:paraId="5EF04713" w14:textId="1CF41B12" w:rsidR="00BD617B" w:rsidRPr="006635C4" w:rsidRDefault="00BD617B" w:rsidP="00B551AA">
      <w:pPr>
        <w:pStyle w:val="ListParagraph"/>
        <w:numPr>
          <w:ilvl w:val="0"/>
          <w:numId w:val="72"/>
        </w:numPr>
        <w:ind w:left="270" w:hanging="270"/>
        <w:rPr>
          <w:rStyle w:val="Level1DRAPChar"/>
          <w:bCs/>
        </w:rPr>
      </w:pPr>
      <w:bookmarkStart w:id="57" w:name="_Toc110329931"/>
      <w:r w:rsidRPr="006635C4">
        <w:rPr>
          <w:rStyle w:val="Level1DRAPChar"/>
          <w:bCs/>
        </w:rPr>
        <w:t>ASSESSMENT OF ADVERSE EVENTS AND OTHER TOOLS</w:t>
      </w:r>
      <w:bookmarkEnd w:id="57"/>
    </w:p>
    <w:p w14:paraId="08318A7A" w14:textId="0DF1DF0F" w:rsidR="00BD617B" w:rsidRPr="005006D9" w:rsidRDefault="00BD617B" w:rsidP="005006D9">
      <w:pPr>
        <w:spacing w:before="120" w:after="120" w:line="360" w:lineRule="auto"/>
        <w:rPr>
          <w:b/>
          <w:bCs/>
          <w:sz w:val="28"/>
          <w:szCs w:val="28"/>
        </w:rPr>
      </w:pPr>
      <w:r w:rsidRPr="005006D9">
        <w:rPr>
          <w:b/>
          <w:bCs/>
          <w:sz w:val="28"/>
          <w:szCs w:val="28"/>
        </w:rPr>
        <w:t xml:space="preserve">6.1 </w:t>
      </w:r>
      <w:r w:rsidRPr="005006D9">
        <w:rPr>
          <w:b/>
          <w:bCs/>
          <w:sz w:val="28"/>
          <w:szCs w:val="28"/>
          <w:u w:val="single"/>
        </w:rPr>
        <w:t xml:space="preserve">What is </w:t>
      </w:r>
      <w:r w:rsidR="003E5BAF" w:rsidRPr="005006D9">
        <w:rPr>
          <w:b/>
          <w:bCs/>
          <w:sz w:val="28"/>
          <w:szCs w:val="28"/>
          <w:u w:val="single"/>
        </w:rPr>
        <w:t>causality assessment</w:t>
      </w:r>
      <w:r w:rsidRPr="005006D9">
        <w:rPr>
          <w:b/>
          <w:bCs/>
          <w:sz w:val="28"/>
          <w:szCs w:val="28"/>
          <w:u w:val="single"/>
        </w:rPr>
        <w:t>?</w:t>
      </w:r>
      <w:r w:rsidRPr="005006D9">
        <w:rPr>
          <w:b/>
          <w:bCs/>
          <w:sz w:val="28"/>
          <w:szCs w:val="28"/>
        </w:rPr>
        <w:t xml:space="preserve"> </w:t>
      </w:r>
    </w:p>
    <w:p w14:paraId="6F9A1BFF" w14:textId="3A700037" w:rsidR="00BD617B" w:rsidRPr="00C02BBE" w:rsidRDefault="00BD617B" w:rsidP="005006D9">
      <w:pPr>
        <w:spacing w:before="120" w:after="120" w:line="360" w:lineRule="auto"/>
        <w:ind w:left="540"/>
        <w:jc w:val="both"/>
        <w:rPr>
          <w:sz w:val="24"/>
          <w:szCs w:val="24"/>
        </w:rPr>
      </w:pPr>
      <w:r w:rsidRPr="00385A98">
        <w:rPr>
          <w:i/>
          <w:iCs/>
          <w:sz w:val="24"/>
          <w:szCs w:val="24"/>
        </w:rPr>
        <w:t>“It is the evaluation of the likelihood that a medicine or therapeutic good was the causative agent of an observed adverse reaction”.</w:t>
      </w:r>
      <w:r w:rsidRPr="00C02BBE">
        <w:rPr>
          <w:sz w:val="24"/>
          <w:szCs w:val="24"/>
        </w:rPr>
        <w:t xml:space="preserve"> In </w:t>
      </w:r>
      <w:r w:rsidR="00385A98">
        <w:rPr>
          <w:sz w:val="24"/>
          <w:szCs w:val="24"/>
        </w:rPr>
        <w:t>an</w:t>
      </w:r>
      <w:r w:rsidRPr="00C02BBE">
        <w:rPr>
          <w:sz w:val="24"/>
          <w:szCs w:val="24"/>
        </w:rPr>
        <w:t xml:space="preserve">other way, it is </w:t>
      </w:r>
      <w:r w:rsidR="00385A98">
        <w:rPr>
          <w:sz w:val="24"/>
          <w:szCs w:val="24"/>
        </w:rPr>
        <w:t xml:space="preserve">a </w:t>
      </w:r>
      <w:r w:rsidRPr="00C02BBE">
        <w:rPr>
          <w:bCs/>
          <w:sz w:val="24"/>
          <w:szCs w:val="24"/>
        </w:rPr>
        <w:t xml:space="preserve">structured approach to determine the relationship between </w:t>
      </w:r>
      <w:r w:rsidR="00385A98">
        <w:rPr>
          <w:bCs/>
          <w:sz w:val="24"/>
          <w:szCs w:val="24"/>
        </w:rPr>
        <w:t xml:space="preserve">a </w:t>
      </w:r>
      <w:r w:rsidRPr="00C02BBE">
        <w:rPr>
          <w:bCs/>
          <w:sz w:val="24"/>
          <w:szCs w:val="24"/>
        </w:rPr>
        <w:t xml:space="preserve">reported event and </w:t>
      </w:r>
      <w:r w:rsidR="00385A98">
        <w:rPr>
          <w:bCs/>
          <w:sz w:val="24"/>
          <w:szCs w:val="24"/>
        </w:rPr>
        <w:t xml:space="preserve">a </w:t>
      </w:r>
      <w:r w:rsidRPr="00C02BBE">
        <w:rPr>
          <w:bCs/>
          <w:sz w:val="24"/>
          <w:szCs w:val="24"/>
        </w:rPr>
        <w:t>suspected drug.</w:t>
      </w:r>
    </w:p>
    <w:p w14:paraId="0630EFE4" w14:textId="6A5AE0EA" w:rsidR="00BD617B" w:rsidRPr="00C02BBE" w:rsidRDefault="00385A98" w:rsidP="005006D9">
      <w:pPr>
        <w:spacing w:before="120" w:after="120" w:line="360" w:lineRule="auto"/>
        <w:ind w:left="540"/>
        <w:jc w:val="both"/>
        <w:rPr>
          <w:bCs/>
          <w:sz w:val="24"/>
          <w:szCs w:val="24"/>
        </w:rPr>
      </w:pPr>
      <w:r>
        <w:rPr>
          <w:sz w:val="24"/>
          <w:szCs w:val="24"/>
        </w:rPr>
        <w:t>The r</w:t>
      </w:r>
      <w:r w:rsidR="00BD617B" w:rsidRPr="00C02BBE">
        <w:rPr>
          <w:sz w:val="24"/>
          <w:szCs w:val="24"/>
        </w:rPr>
        <w:t xml:space="preserve">ationale for the causality assessment is the following: </w:t>
      </w:r>
      <w:r w:rsidR="00BD617B" w:rsidRPr="00C02BBE">
        <w:rPr>
          <w:bCs/>
          <w:sz w:val="24"/>
          <w:szCs w:val="24"/>
        </w:rPr>
        <w:t xml:space="preserve">to define </w:t>
      </w:r>
      <w:r>
        <w:rPr>
          <w:bCs/>
          <w:sz w:val="24"/>
          <w:szCs w:val="24"/>
        </w:rPr>
        <w:t xml:space="preserve">the </w:t>
      </w:r>
      <w:r w:rsidR="00BD617B" w:rsidRPr="00C02BBE">
        <w:rPr>
          <w:bCs/>
          <w:sz w:val="24"/>
          <w:szCs w:val="24"/>
        </w:rPr>
        <w:t xml:space="preserve">relationship </w:t>
      </w:r>
      <w:r w:rsidR="00B6790E" w:rsidRPr="00C02BBE">
        <w:rPr>
          <w:bCs/>
          <w:sz w:val="24"/>
          <w:szCs w:val="24"/>
        </w:rPr>
        <w:t>Drug</w:t>
      </w:r>
      <w:r w:rsidR="00BD617B" w:rsidRPr="00C02BBE">
        <w:rPr>
          <w:bCs/>
          <w:sz w:val="24"/>
          <w:szCs w:val="24"/>
        </w:rPr>
        <w:t xml:space="preserve">-ADR; help in </w:t>
      </w:r>
      <w:r>
        <w:rPr>
          <w:bCs/>
          <w:sz w:val="24"/>
          <w:szCs w:val="24"/>
        </w:rPr>
        <w:t xml:space="preserve">the </w:t>
      </w:r>
      <w:r w:rsidR="00BD617B" w:rsidRPr="00C02BBE">
        <w:rPr>
          <w:bCs/>
          <w:sz w:val="24"/>
          <w:szCs w:val="24"/>
        </w:rPr>
        <w:t>signal detection process;</w:t>
      </w:r>
      <w:r w:rsidR="00BD617B" w:rsidRPr="00C02BBE">
        <w:rPr>
          <w:sz w:val="24"/>
          <w:szCs w:val="24"/>
        </w:rPr>
        <w:t xml:space="preserve"> </w:t>
      </w:r>
      <w:r w:rsidR="00BD617B" w:rsidRPr="00C02BBE">
        <w:rPr>
          <w:bCs/>
          <w:sz w:val="24"/>
          <w:szCs w:val="24"/>
        </w:rPr>
        <w:t>risk minimizing actions are based on evidence of causality assessment.</w:t>
      </w:r>
    </w:p>
    <w:tbl>
      <w:tblPr>
        <w:tblW w:w="93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82"/>
        <w:gridCol w:w="4682"/>
      </w:tblGrid>
      <w:tr w:rsidR="00BD617B" w:rsidRPr="00C02BBE" w14:paraId="3C1C592C" w14:textId="77777777" w:rsidTr="00FD1B1C">
        <w:trPr>
          <w:trHeight w:val="268"/>
        </w:trPr>
        <w:tc>
          <w:tcPr>
            <w:tcW w:w="4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6FA0D2" w14:textId="77777777" w:rsidR="00BD617B" w:rsidRPr="00C02BBE" w:rsidRDefault="00BD617B" w:rsidP="00385A98">
            <w:pPr>
              <w:spacing w:line="360" w:lineRule="auto"/>
              <w:rPr>
                <w:sz w:val="24"/>
                <w:szCs w:val="24"/>
              </w:rPr>
            </w:pPr>
            <w:r w:rsidRPr="00C02BBE">
              <w:rPr>
                <w:b/>
                <w:bCs/>
                <w:color w:val="000000"/>
                <w:sz w:val="24"/>
                <w:szCs w:val="24"/>
              </w:rPr>
              <w:t xml:space="preserve">What Causality Assessment can do </w:t>
            </w:r>
          </w:p>
        </w:tc>
        <w:tc>
          <w:tcPr>
            <w:tcW w:w="4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796B76" w14:textId="77777777" w:rsidR="00BD617B" w:rsidRPr="00C02BBE" w:rsidRDefault="00BD617B" w:rsidP="00385A98">
            <w:pPr>
              <w:spacing w:line="360" w:lineRule="auto"/>
              <w:rPr>
                <w:sz w:val="24"/>
                <w:szCs w:val="24"/>
              </w:rPr>
            </w:pPr>
            <w:r w:rsidRPr="00C02BBE">
              <w:rPr>
                <w:b/>
                <w:bCs/>
                <w:color w:val="000000"/>
                <w:sz w:val="24"/>
                <w:szCs w:val="24"/>
              </w:rPr>
              <w:t>What Causality Assessment cannot do</w:t>
            </w:r>
          </w:p>
        </w:tc>
      </w:tr>
      <w:tr w:rsidR="00BD617B" w:rsidRPr="00C02BBE" w14:paraId="2A1AE2CD" w14:textId="77777777" w:rsidTr="00FD1B1C">
        <w:trPr>
          <w:trHeight w:val="446"/>
        </w:trPr>
        <w:tc>
          <w:tcPr>
            <w:tcW w:w="4682" w:type="dxa"/>
            <w:tcBorders>
              <w:top w:val="single" w:sz="4" w:space="0" w:color="auto"/>
              <w:left w:val="single" w:sz="4" w:space="0" w:color="auto"/>
              <w:bottom w:val="single" w:sz="4" w:space="0" w:color="auto"/>
              <w:right w:val="single" w:sz="4" w:space="0" w:color="auto"/>
            </w:tcBorders>
            <w:vAlign w:val="center"/>
            <w:hideMark/>
          </w:tcPr>
          <w:p w14:paraId="2695B584" w14:textId="77777777" w:rsidR="00BD617B" w:rsidRPr="00C02BBE" w:rsidRDefault="00BD617B" w:rsidP="00FD1B1C">
            <w:pPr>
              <w:spacing w:line="276" w:lineRule="auto"/>
              <w:rPr>
                <w:sz w:val="24"/>
                <w:szCs w:val="24"/>
              </w:rPr>
            </w:pPr>
            <w:r w:rsidRPr="00C02BBE">
              <w:rPr>
                <w:color w:val="000000"/>
                <w:sz w:val="24"/>
                <w:szCs w:val="24"/>
              </w:rPr>
              <w:t xml:space="preserve">Decrease disagreement between assessors </w:t>
            </w:r>
          </w:p>
        </w:tc>
        <w:tc>
          <w:tcPr>
            <w:tcW w:w="4682" w:type="dxa"/>
            <w:tcBorders>
              <w:top w:val="single" w:sz="4" w:space="0" w:color="auto"/>
              <w:left w:val="single" w:sz="4" w:space="0" w:color="auto"/>
              <w:bottom w:val="single" w:sz="4" w:space="0" w:color="auto"/>
              <w:right w:val="single" w:sz="4" w:space="0" w:color="auto"/>
            </w:tcBorders>
            <w:vAlign w:val="center"/>
            <w:hideMark/>
          </w:tcPr>
          <w:p w14:paraId="58615C33" w14:textId="77777777" w:rsidR="00BD617B" w:rsidRPr="00C02BBE" w:rsidRDefault="00BD617B" w:rsidP="00FD1B1C">
            <w:pPr>
              <w:spacing w:line="276" w:lineRule="auto"/>
              <w:rPr>
                <w:sz w:val="24"/>
                <w:szCs w:val="24"/>
              </w:rPr>
            </w:pPr>
            <w:r w:rsidRPr="00C02BBE">
              <w:rPr>
                <w:color w:val="000000"/>
                <w:sz w:val="24"/>
                <w:szCs w:val="24"/>
              </w:rPr>
              <w:t>Give accurate quantitative measurement of</w:t>
            </w:r>
            <w:r w:rsidRPr="00C02BBE">
              <w:rPr>
                <w:color w:val="000000"/>
                <w:sz w:val="24"/>
                <w:szCs w:val="24"/>
              </w:rPr>
              <w:br/>
              <w:t>relationship likelihood</w:t>
            </w:r>
          </w:p>
        </w:tc>
      </w:tr>
      <w:tr w:rsidR="00BD617B" w:rsidRPr="00C02BBE" w14:paraId="762B9AF4" w14:textId="77777777" w:rsidTr="00FD1B1C">
        <w:trPr>
          <w:trHeight w:val="292"/>
        </w:trPr>
        <w:tc>
          <w:tcPr>
            <w:tcW w:w="4682" w:type="dxa"/>
            <w:tcBorders>
              <w:top w:val="single" w:sz="4" w:space="0" w:color="auto"/>
              <w:left w:val="single" w:sz="4" w:space="0" w:color="auto"/>
              <w:bottom w:val="single" w:sz="4" w:space="0" w:color="auto"/>
              <w:right w:val="single" w:sz="4" w:space="0" w:color="auto"/>
            </w:tcBorders>
            <w:vAlign w:val="center"/>
            <w:hideMark/>
          </w:tcPr>
          <w:p w14:paraId="647B96E1" w14:textId="77777777" w:rsidR="00BD617B" w:rsidRPr="00C02BBE" w:rsidRDefault="00BD617B" w:rsidP="00FD1B1C">
            <w:pPr>
              <w:spacing w:line="276" w:lineRule="auto"/>
              <w:rPr>
                <w:sz w:val="24"/>
                <w:szCs w:val="24"/>
              </w:rPr>
            </w:pPr>
            <w:r w:rsidRPr="00C02BBE">
              <w:rPr>
                <w:color w:val="000000"/>
                <w:sz w:val="24"/>
                <w:szCs w:val="24"/>
              </w:rPr>
              <w:t xml:space="preserve">Classify relationship likelihood </w:t>
            </w:r>
          </w:p>
        </w:tc>
        <w:tc>
          <w:tcPr>
            <w:tcW w:w="4682" w:type="dxa"/>
            <w:tcBorders>
              <w:top w:val="single" w:sz="4" w:space="0" w:color="auto"/>
              <w:left w:val="single" w:sz="4" w:space="0" w:color="auto"/>
              <w:bottom w:val="single" w:sz="4" w:space="0" w:color="auto"/>
              <w:right w:val="single" w:sz="4" w:space="0" w:color="auto"/>
            </w:tcBorders>
            <w:vAlign w:val="center"/>
            <w:hideMark/>
          </w:tcPr>
          <w:p w14:paraId="74582FB8" w14:textId="77777777" w:rsidR="00BD617B" w:rsidRPr="00C02BBE" w:rsidRDefault="00BD617B" w:rsidP="00FD1B1C">
            <w:pPr>
              <w:spacing w:line="276" w:lineRule="auto"/>
              <w:rPr>
                <w:sz w:val="24"/>
                <w:szCs w:val="24"/>
              </w:rPr>
            </w:pPr>
            <w:r w:rsidRPr="00C02BBE">
              <w:rPr>
                <w:color w:val="000000"/>
                <w:sz w:val="24"/>
                <w:szCs w:val="24"/>
              </w:rPr>
              <w:t>Distinguish valid from invalid cases</w:t>
            </w:r>
          </w:p>
        </w:tc>
      </w:tr>
      <w:tr w:rsidR="00BD617B" w:rsidRPr="00C02BBE" w14:paraId="30CFC597" w14:textId="77777777" w:rsidTr="00FD1B1C">
        <w:trPr>
          <w:trHeight w:val="292"/>
        </w:trPr>
        <w:tc>
          <w:tcPr>
            <w:tcW w:w="4682" w:type="dxa"/>
            <w:tcBorders>
              <w:top w:val="single" w:sz="4" w:space="0" w:color="auto"/>
              <w:left w:val="single" w:sz="4" w:space="0" w:color="auto"/>
              <w:bottom w:val="single" w:sz="4" w:space="0" w:color="auto"/>
              <w:right w:val="single" w:sz="4" w:space="0" w:color="auto"/>
            </w:tcBorders>
            <w:vAlign w:val="center"/>
            <w:hideMark/>
          </w:tcPr>
          <w:p w14:paraId="01E47F40" w14:textId="77777777" w:rsidR="00BD617B" w:rsidRPr="00C02BBE" w:rsidRDefault="00BD617B" w:rsidP="00FD1B1C">
            <w:pPr>
              <w:spacing w:line="276" w:lineRule="auto"/>
              <w:rPr>
                <w:sz w:val="24"/>
                <w:szCs w:val="24"/>
              </w:rPr>
            </w:pPr>
            <w:r w:rsidRPr="00C02BBE">
              <w:rPr>
                <w:color w:val="000000"/>
                <w:sz w:val="24"/>
                <w:szCs w:val="24"/>
              </w:rPr>
              <w:t xml:space="preserve">Mark individual case reports </w:t>
            </w:r>
          </w:p>
        </w:tc>
        <w:tc>
          <w:tcPr>
            <w:tcW w:w="4682" w:type="dxa"/>
            <w:tcBorders>
              <w:top w:val="single" w:sz="4" w:space="0" w:color="auto"/>
              <w:left w:val="single" w:sz="4" w:space="0" w:color="auto"/>
              <w:bottom w:val="single" w:sz="4" w:space="0" w:color="auto"/>
              <w:right w:val="single" w:sz="4" w:space="0" w:color="auto"/>
            </w:tcBorders>
            <w:vAlign w:val="center"/>
            <w:hideMark/>
          </w:tcPr>
          <w:p w14:paraId="35F2706D" w14:textId="4A70412E" w:rsidR="00BD617B" w:rsidRPr="00C02BBE" w:rsidRDefault="00BD617B" w:rsidP="00FD1B1C">
            <w:pPr>
              <w:spacing w:line="276" w:lineRule="auto"/>
              <w:rPr>
                <w:sz w:val="24"/>
                <w:szCs w:val="24"/>
              </w:rPr>
            </w:pPr>
            <w:r w:rsidRPr="00C02BBE">
              <w:rPr>
                <w:color w:val="000000"/>
                <w:sz w:val="24"/>
                <w:szCs w:val="24"/>
              </w:rPr>
              <w:t xml:space="preserve">Prove the connection between </w:t>
            </w:r>
            <w:r w:rsidR="004C22CE">
              <w:rPr>
                <w:color w:val="000000"/>
                <w:sz w:val="24"/>
                <w:szCs w:val="24"/>
              </w:rPr>
              <w:t xml:space="preserve">a </w:t>
            </w:r>
            <w:r w:rsidRPr="00C02BBE">
              <w:rPr>
                <w:color w:val="000000"/>
                <w:sz w:val="24"/>
                <w:szCs w:val="24"/>
              </w:rPr>
              <w:t xml:space="preserve">drug and </w:t>
            </w:r>
            <w:r w:rsidR="00746C91">
              <w:rPr>
                <w:color w:val="000000"/>
                <w:sz w:val="24"/>
                <w:szCs w:val="24"/>
              </w:rPr>
              <w:t xml:space="preserve">an </w:t>
            </w:r>
            <w:r w:rsidRPr="00C02BBE">
              <w:rPr>
                <w:color w:val="000000"/>
                <w:sz w:val="24"/>
                <w:szCs w:val="24"/>
              </w:rPr>
              <w:t>event</w:t>
            </w:r>
          </w:p>
        </w:tc>
      </w:tr>
      <w:tr w:rsidR="00BD617B" w:rsidRPr="00C02BBE" w14:paraId="66B4FF44" w14:textId="77777777" w:rsidTr="00FD1B1C">
        <w:trPr>
          <w:trHeight w:val="593"/>
        </w:trPr>
        <w:tc>
          <w:tcPr>
            <w:tcW w:w="4682" w:type="dxa"/>
            <w:tcBorders>
              <w:top w:val="single" w:sz="4" w:space="0" w:color="auto"/>
              <w:left w:val="single" w:sz="4" w:space="0" w:color="auto"/>
              <w:bottom w:val="single" w:sz="4" w:space="0" w:color="auto"/>
              <w:right w:val="single" w:sz="4" w:space="0" w:color="auto"/>
            </w:tcBorders>
            <w:vAlign w:val="center"/>
            <w:hideMark/>
          </w:tcPr>
          <w:p w14:paraId="2DDC00FB" w14:textId="77777777" w:rsidR="00BD617B" w:rsidRPr="00C02BBE" w:rsidRDefault="00BD617B" w:rsidP="00FD1B1C">
            <w:pPr>
              <w:spacing w:line="276" w:lineRule="auto"/>
              <w:rPr>
                <w:sz w:val="24"/>
                <w:szCs w:val="24"/>
              </w:rPr>
            </w:pPr>
            <w:r w:rsidRPr="00C02BBE">
              <w:rPr>
                <w:color w:val="000000"/>
                <w:sz w:val="24"/>
                <w:szCs w:val="24"/>
              </w:rPr>
              <w:t>Improvement of scientific evaluation;</w:t>
            </w:r>
            <w:r w:rsidRPr="00C02BBE">
              <w:rPr>
                <w:color w:val="000000"/>
                <w:sz w:val="24"/>
                <w:szCs w:val="24"/>
              </w:rPr>
              <w:br/>
              <w:t>educational</w:t>
            </w:r>
          </w:p>
        </w:tc>
        <w:tc>
          <w:tcPr>
            <w:tcW w:w="4682" w:type="dxa"/>
            <w:tcBorders>
              <w:top w:val="single" w:sz="4" w:space="0" w:color="auto"/>
              <w:left w:val="single" w:sz="4" w:space="0" w:color="auto"/>
              <w:bottom w:val="single" w:sz="4" w:space="0" w:color="auto"/>
              <w:right w:val="single" w:sz="4" w:space="0" w:color="auto"/>
            </w:tcBorders>
            <w:vAlign w:val="center"/>
            <w:hideMark/>
          </w:tcPr>
          <w:p w14:paraId="6C1E6FD4" w14:textId="77777777" w:rsidR="00BD617B" w:rsidRPr="00C02BBE" w:rsidRDefault="00BD617B" w:rsidP="00FD1B1C">
            <w:pPr>
              <w:spacing w:line="276" w:lineRule="auto"/>
              <w:rPr>
                <w:sz w:val="24"/>
                <w:szCs w:val="24"/>
              </w:rPr>
            </w:pPr>
            <w:r w:rsidRPr="00C02BBE">
              <w:rPr>
                <w:color w:val="000000"/>
                <w:sz w:val="24"/>
                <w:szCs w:val="24"/>
              </w:rPr>
              <w:t>Quantify the contribution of a drug to the</w:t>
            </w:r>
            <w:r w:rsidRPr="00C02BBE">
              <w:rPr>
                <w:color w:val="000000"/>
                <w:sz w:val="24"/>
                <w:szCs w:val="24"/>
              </w:rPr>
              <w:br/>
              <w:t>development of an adverse event</w:t>
            </w:r>
          </w:p>
        </w:tc>
      </w:tr>
      <w:tr w:rsidR="00BD617B" w:rsidRPr="00C02BBE" w14:paraId="7B12F4F3" w14:textId="77777777" w:rsidTr="00FD1B1C">
        <w:trPr>
          <w:trHeight w:val="292"/>
        </w:trPr>
        <w:tc>
          <w:tcPr>
            <w:tcW w:w="4682" w:type="dxa"/>
            <w:tcBorders>
              <w:top w:val="single" w:sz="4" w:space="0" w:color="auto"/>
              <w:left w:val="single" w:sz="4" w:space="0" w:color="auto"/>
              <w:bottom w:val="single" w:sz="4" w:space="0" w:color="auto"/>
              <w:right w:val="single" w:sz="4" w:space="0" w:color="auto"/>
            </w:tcBorders>
            <w:vAlign w:val="center"/>
            <w:hideMark/>
          </w:tcPr>
          <w:p w14:paraId="48B1B93B" w14:textId="77777777" w:rsidR="00BD617B" w:rsidRPr="00C02BBE" w:rsidRDefault="00BD617B" w:rsidP="00FD1B1C">
            <w:pPr>
              <w:spacing w:line="276" w:lineRule="auto"/>
              <w:rPr>
                <w:sz w:val="24"/>
                <w:szCs w:val="24"/>
              </w:rPr>
            </w:pPr>
          </w:p>
        </w:tc>
        <w:tc>
          <w:tcPr>
            <w:tcW w:w="0" w:type="auto"/>
            <w:vAlign w:val="center"/>
            <w:hideMark/>
          </w:tcPr>
          <w:p w14:paraId="651BEAFE" w14:textId="77777777" w:rsidR="00BD617B" w:rsidRPr="00C02BBE" w:rsidRDefault="00BD617B" w:rsidP="00FD1B1C">
            <w:pPr>
              <w:spacing w:line="276" w:lineRule="auto"/>
              <w:rPr>
                <w:sz w:val="24"/>
                <w:szCs w:val="24"/>
              </w:rPr>
            </w:pPr>
            <w:r w:rsidRPr="00C02BBE">
              <w:rPr>
                <w:color w:val="000000"/>
                <w:sz w:val="24"/>
                <w:szCs w:val="24"/>
              </w:rPr>
              <w:t>Change uncertainty into certainty</w:t>
            </w:r>
          </w:p>
        </w:tc>
      </w:tr>
    </w:tbl>
    <w:p w14:paraId="214C16F3" w14:textId="77777777" w:rsidR="00BD617B" w:rsidRPr="00C02BBE" w:rsidRDefault="00BD617B" w:rsidP="000440FF">
      <w:pPr>
        <w:spacing w:line="360" w:lineRule="auto"/>
      </w:pPr>
    </w:p>
    <w:p w14:paraId="7F1927BD" w14:textId="1AAEDB6E" w:rsidR="00BD617B" w:rsidRPr="00385A98" w:rsidRDefault="00BD617B" w:rsidP="000440FF">
      <w:pPr>
        <w:spacing w:line="360" w:lineRule="auto"/>
        <w:rPr>
          <w:b/>
          <w:bCs/>
          <w:sz w:val="28"/>
          <w:szCs w:val="28"/>
          <w:u w:val="single"/>
        </w:rPr>
      </w:pPr>
      <w:r w:rsidRPr="005A4975">
        <w:rPr>
          <w:b/>
          <w:bCs/>
          <w:sz w:val="28"/>
          <w:szCs w:val="28"/>
        </w:rPr>
        <w:t>6.2</w:t>
      </w:r>
      <w:r w:rsidRPr="00940B6E">
        <w:rPr>
          <w:b/>
          <w:bCs/>
          <w:sz w:val="28"/>
          <w:szCs w:val="28"/>
        </w:rPr>
        <w:t xml:space="preserve"> </w:t>
      </w:r>
      <w:r w:rsidRPr="00385A98">
        <w:rPr>
          <w:b/>
          <w:bCs/>
          <w:sz w:val="28"/>
          <w:szCs w:val="28"/>
          <w:u w:val="single"/>
        </w:rPr>
        <w:t xml:space="preserve">Methods of </w:t>
      </w:r>
      <w:r w:rsidR="003E5BAF" w:rsidRPr="00385A98">
        <w:rPr>
          <w:b/>
          <w:bCs/>
          <w:sz w:val="28"/>
          <w:szCs w:val="28"/>
          <w:u w:val="single"/>
        </w:rPr>
        <w:t xml:space="preserve">causality assessment </w:t>
      </w:r>
      <w:r w:rsidRPr="00385A98">
        <w:rPr>
          <w:b/>
          <w:bCs/>
          <w:sz w:val="28"/>
          <w:szCs w:val="28"/>
          <w:u w:val="single"/>
        </w:rPr>
        <w:t xml:space="preserve">for </w:t>
      </w:r>
      <w:r w:rsidR="003E5BAF" w:rsidRPr="00385A98">
        <w:rPr>
          <w:b/>
          <w:bCs/>
          <w:sz w:val="28"/>
          <w:szCs w:val="28"/>
          <w:u w:val="single"/>
        </w:rPr>
        <w:t>signal case safety reports</w:t>
      </w:r>
      <w:r w:rsidRPr="00385A98">
        <w:rPr>
          <w:b/>
          <w:bCs/>
          <w:sz w:val="28"/>
          <w:szCs w:val="28"/>
          <w:u w:val="single"/>
        </w:rPr>
        <w:t>.</w:t>
      </w:r>
    </w:p>
    <w:p w14:paraId="03167819" w14:textId="77777777" w:rsidR="00BD617B" w:rsidRPr="00C02BBE" w:rsidRDefault="00BD617B" w:rsidP="00CF5C06">
      <w:pPr>
        <w:spacing w:before="120" w:after="120" w:line="360" w:lineRule="auto"/>
        <w:ind w:left="540"/>
        <w:jc w:val="both"/>
        <w:rPr>
          <w:color w:val="242021"/>
          <w:sz w:val="24"/>
          <w:szCs w:val="24"/>
        </w:rPr>
      </w:pPr>
      <w:r w:rsidRPr="00C02BBE">
        <w:rPr>
          <w:color w:val="000000"/>
          <w:sz w:val="24"/>
          <w:szCs w:val="24"/>
        </w:rPr>
        <w:t>Nevertheless, causality assessment has become a common routine procedure in pharmacovigilance</w:t>
      </w:r>
      <w:r w:rsidRPr="00C02BBE">
        <w:rPr>
          <w:sz w:val="24"/>
          <w:szCs w:val="24"/>
        </w:rPr>
        <w:t xml:space="preserve">.  </w:t>
      </w:r>
      <w:r w:rsidRPr="00C02BBE">
        <w:rPr>
          <w:color w:val="242021"/>
          <w:sz w:val="24"/>
          <w:szCs w:val="24"/>
        </w:rPr>
        <w:t>These systems are largely based on four considerations:</w:t>
      </w:r>
    </w:p>
    <w:p w14:paraId="100A0311" w14:textId="2D7528FB" w:rsidR="00BD617B" w:rsidRPr="00C02BBE" w:rsidRDefault="00BD617B" w:rsidP="00CF5C06">
      <w:pPr>
        <w:pStyle w:val="ListParagraph"/>
        <w:widowControl/>
        <w:numPr>
          <w:ilvl w:val="0"/>
          <w:numId w:val="56"/>
        </w:numPr>
        <w:spacing w:before="120" w:after="120" w:line="360" w:lineRule="auto"/>
        <w:ind w:left="1620" w:firstLine="0"/>
        <w:contextualSpacing w:val="0"/>
        <w:jc w:val="both"/>
        <w:rPr>
          <w:color w:val="242021"/>
          <w:sz w:val="24"/>
          <w:szCs w:val="24"/>
        </w:rPr>
      </w:pPr>
      <w:r w:rsidRPr="00C02BBE">
        <w:rPr>
          <w:color w:val="242021"/>
          <w:sz w:val="24"/>
          <w:szCs w:val="24"/>
        </w:rPr>
        <w:t>The association in time (or place) between drug administration and event</w:t>
      </w:r>
      <w:r w:rsidR="00496624">
        <w:rPr>
          <w:color w:val="242021"/>
          <w:sz w:val="24"/>
          <w:szCs w:val="24"/>
        </w:rPr>
        <w:t>;</w:t>
      </w:r>
    </w:p>
    <w:p w14:paraId="6B246E8E" w14:textId="00EAA25B" w:rsidR="00BD617B" w:rsidRPr="00C02BBE" w:rsidRDefault="00BD617B" w:rsidP="00CF5C06">
      <w:pPr>
        <w:pStyle w:val="ListParagraph"/>
        <w:widowControl/>
        <w:numPr>
          <w:ilvl w:val="0"/>
          <w:numId w:val="56"/>
        </w:numPr>
        <w:spacing w:before="120" w:after="120" w:line="360" w:lineRule="auto"/>
        <w:ind w:left="2160" w:hanging="540"/>
        <w:contextualSpacing w:val="0"/>
        <w:jc w:val="both"/>
        <w:rPr>
          <w:color w:val="242021"/>
          <w:sz w:val="24"/>
          <w:szCs w:val="24"/>
        </w:rPr>
      </w:pPr>
      <w:r w:rsidRPr="00C02BBE">
        <w:rPr>
          <w:color w:val="242021"/>
          <w:sz w:val="24"/>
          <w:szCs w:val="24"/>
        </w:rPr>
        <w:t>Pharmacology (including current knowledge of nature and frequency of adverse reactions)</w:t>
      </w:r>
      <w:r w:rsidR="00496624">
        <w:rPr>
          <w:color w:val="242021"/>
          <w:sz w:val="24"/>
          <w:szCs w:val="24"/>
        </w:rPr>
        <w:t>;</w:t>
      </w:r>
    </w:p>
    <w:p w14:paraId="6FB22416" w14:textId="17D3CEFD" w:rsidR="00BD617B" w:rsidRPr="00C02BBE" w:rsidRDefault="00BD617B" w:rsidP="00CF5C06">
      <w:pPr>
        <w:pStyle w:val="ListParagraph"/>
        <w:widowControl/>
        <w:numPr>
          <w:ilvl w:val="0"/>
          <w:numId w:val="56"/>
        </w:numPr>
        <w:spacing w:before="120" w:after="120" w:line="360" w:lineRule="auto"/>
        <w:ind w:left="2160" w:hanging="540"/>
        <w:contextualSpacing w:val="0"/>
        <w:jc w:val="both"/>
        <w:rPr>
          <w:color w:val="242021"/>
          <w:sz w:val="24"/>
          <w:szCs w:val="24"/>
        </w:rPr>
      </w:pPr>
      <w:r w:rsidRPr="00C02BBE">
        <w:rPr>
          <w:color w:val="242021"/>
          <w:sz w:val="24"/>
          <w:szCs w:val="24"/>
        </w:rPr>
        <w:t>Medical or pharmacological plausibility (signs and symptoms, laboratory tests, pathological findings, mechanism)</w:t>
      </w:r>
      <w:r w:rsidR="00496624">
        <w:rPr>
          <w:color w:val="242021"/>
          <w:sz w:val="24"/>
          <w:szCs w:val="24"/>
        </w:rPr>
        <w:t>; and</w:t>
      </w:r>
    </w:p>
    <w:p w14:paraId="201F4C6A" w14:textId="77777777" w:rsidR="00BD617B" w:rsidRPr="00C02BBE" w:rsidRDefault="00BD617B" w:rsidP="00CF5C06">
      <w:pPr>
        <w:pStyle w:val="ListParagraph"/>
        <w:widowControl/>
        <w:numPr>
          <w:ilvl w:val="0"/>
          <w:numId w:val="56"/>
        </w:numPr>
        <w:spacing w:before="120" w:after="120" w:line="360" w:lineRule="auto"/>
        <w:ind w:left="1620" w:firstLine="0"/>
        <w:contextualSpacing w:val="0"/>
        <w:jc w:val="both"/>
        <w:rPr>
          <w:color w:val="242021"/>
          <w:sz w:val="24"/>
          <w:szCs w:val="24"/>
        </w:rPr>
      </w:pPr>
      <w:r w:rsidRPr="00C02BBE">
        <w:rPr>
          <w:color w:val="242021"/>
          <w:sz w:val="24"/>
          <w:szCs w:val="24"/>
        </w:rPr>
        <w:t>Likelihood or exclusion of other causes.</w:t>
      </w:r>
    </w:p>
    <w:p w14:paraId="6BC3520D" w14:textId="77777777" w:rsidR="00BD617B" w:rsidRPr="00C02BBE" w:rsidRDefault="00BD617B" w:rsidP="0022273E">
      <w:pPr>
        <w:spacing w:line="360" w:lineRule="auto"/>
        <w:ind w:left="540"/>
        <w:jc w:val="both"/>
        <w:rPr>
          <w:sz w:val="24"/>
          <w:szCs w:val="24"/>
        </w:rPr>
      </w:pPr>
      <w:r w:rsidRPr="00C02BBE">
        <w:rPr>
          <w:sz w:val="24"/>
          <w:szCs w:val="24"/>
        </w:rPr>
        <w:t>These systems mainly fall into three categories.</w:t>
      </w:r>
    </w:p>
    <w:p w14:paraId="3F2FAADE" w14:textId="77777777" w:rsidR="00BD617B" w:rsidRDefault="00BD617B" w:rsidP="00B551AA">
      <w:pPr>
        <w:widowControl/>
        <w:numPr>
          <w:ilvl w:val="0"/>
          <w:numId w:val="43"/>
        </w:numPr>
        <w:tabs>
          <w:tab w:val="clear" w:pos="720"/>
          <w:tab w:val="num" w:pos="2250"/>
        </w:tabs>
        <w:spacing w:after="200" w:line="360" w:lineRule="auto"/>
        <w:ind w:left="2160" w:hanging="540"/>
        <w:jc w:val="both"/>
        <w:rPr>
          <w:bCs/>
          <w:sz w:val="24"/>
          <w:szCs w:val="24"/>
        </w:rPr>
      </w:pPr>
      <w:r w:rsidRPr="00C02BBE">
        <w:rPr>
          <w:bCs/>
          <w:sz w:val="24"/>
          <w:szCs w:val="24"/>
        </w:rPr>
        <w:t>Algorithms e.g. Naranjo, RUCAM</w:t>
      </w:r>
      <w:r>
        <w:rPr>
          <w:bCs/>
          <w:sz w:val="24"/>
          <w:szCs w:val="24"/>
        </w:rPr>
        <w:t>;</w:t>
      </w:r>
    </w:p>
    <w:p w14:paraId="22BAE117" w14:textId="77777777" w:rsidR="00BD617B" w:rsidRPr="006A4835" w:rsidRDefault="00BD617B" w:rsidP="00B551AA">
      <w:pPr>
        <w:widowControl/>
        <w:numPr>
          <w:ilvl w:val="0"/>
          <w:numId w:val="43"/>
        </w:numPr>
        <w:tabs>
          <w:tab w:val="clear" w:pos="720"/>
          <w:tab w:val="num" w:pos="2160"/>
          <w:tab w:val="num" w:pos="2250"/>
        </w:tabs>
        <w:spacing w:after="200" w:line="360" w:lineRule="auto"/>
        <w:ind w:left="2160" w:hanging="540"/>
        <w:jc w:val="both"/>
        <w:rPr>
          <w:bCs/>
          <w:sz w:val="24"/>
          <w:szCs w:val="24"/>
        </w:rPr>
      </w:pPr>
      <w:r w:rsidRPr="00C02BBE">
        <w:rPr>
          <w:bCs/>
          <w:sz w:val="24"/>
          <w:szCs w:val="24"/>
        </w:rPr>
        <w:lastRenderedPageBreak/>
        <w:t xml:space="preserve">‘Global introspection’ qualitative (e.g. WHO-UMC) or quantitative (e.g. French </w:t>
      </w:r>
      <w:proofErr w:type="spellStart"/>
      <w:r w:rsidRPr="00C02BBE">
        <w:rPr>
          <w:bCs/>
          <w:sz w:val="24"/>
          <w:szCs w:val="24"/>
        </w:rPr>
        <w:t>imputability</w:t>
      </w:r>
      <w:proofErr w:type="spellEnd"/>
      <w:r w:rsidRPr="00C02BBE">
        <w:rPr>
          <w:bCs/>
          <w:sz w:val="24"/>
          <w:szCs w:val="24"/>
        </w:rPr>
        <w:t xml:space="preserve"> system);</w:t>
      </w:r>
      <w:r>
        <w:rPr>
          <w:bCs/>
          <w:sz w:val="24"/>
          <w:szCs w:val="24"/>
        </w:rPr>
        <w:t xml:space="preserve"> </w:t>
      </w:r>
      <w:r w:rsidRPr="006A4835">
        <w:rPr>
          <w:bCs/>
          <w:sz w:val="24"/>
          <w:szCs w:val="24"/>
        </w:rPr>
        <w:t>and</w:t>
      </w:r>
    </w:p>
    <w:p w14:paraId="7659EC0B" w14:textId="77777777" w:rsidR="00BD617B" w:rsidRPr="00C02BBE" w:rsidRDefault="00BD617B" w:rsidP="00B551AA">
      <w:pPr>
        <w:widowControl/>
        <w:numPr>
          <w:ilvl w:val="0"/>
          <w:numId w:val="43"/>
        </w:numPr>
        <w:tabs>
          <w:tab w:val="clear" w:pos="720"/>
          <w:tab w:val="num" w:pos="2160"/>
          <w:tab w:val="num" w:pos="2250"/>
        </w:tabs>
        <w:spacing w:after="200" w:line="360" w:lineRule="auto"/>
        <w:ind w:left="2160" w:hanging="540"/>
        <w:jc w:val="both"/>
        <w:rPr>
          <w:bCs/>
          <w:sz w:val="24"/>
          <w:szCs w:val="24"/>
        </w:rPr>
      </w:pPr>
      <w:r w:rsidRPr="00C02BBE">
        <w:rPr>
          <w:bCs/>
          <w:sz w:val="24"/>
          <w:szCs w:val="24"/>
        </w:rPr>
        <w:t>Probabilistic methods e.g. Bayesian.</w:t>
      </w:r>
    </w:p>
    <w:p w14:paraId="72C16724" w14:textId="2769362A" w:rsidR="00BD617B" w:rsidRPr="00C02BBE" w:rsidRDefault="00BD617B" w:rsidP="00E331AF">
      <w:pPr>
        <w:spacing w:before="120" w:after="120" w:line="360" w:lineRule="auto"/>
        <w:jc w:val="both"/>
        <w:rPr>
          <w:b/>
          <w:bCs/>
          <w:color w:val="000000"/>
          <w:sz w:val="24"/>
          <w:szCs w:val="24"/>
        </w:rPr>
      </w:pPr>
      <w:r w:rsidRPr="00704414">
        <w:rPr>
          <w:b/>
          <w:bCs/>
          <w:sz w:val="28"/>
          <w:szCs w:val="28"/>
        </w:rPr>
        <w:t xml:space="preserve">6.3 </w:t>
      </w:r>
      <w:r w:rsidRPr="00617809">
        <w:rPr>
          <w:b/>
          <w:bCs/>
          <w:color w:val="000000"/>
          <w:sz w:val="28"/>
          <w:szCs w:val="28"/>
          <w:u w:val="single"/>
        </w:rPr>
        <w:t xml:space="preserve">Naranjo </w:t>
      </w:r>
      <w:r w:rsidR="003E5BAF" w:rsidRPr="00617809">
        <w:rPr>
          <w:b/>
          <w:bCs/>
          <w:color w:val="000000"/>
          <w:sz w:val="28"/>
          <w:szCs w:val="28"/>
          <w:u w:val="single"/>
        </w:rPr>
        <w:t xml:space="preserve">algorithm </w:t>
      </w:r>
      <w:r w:rsidRPr="00617809">
        <w:rPr>
          <w:b/>
          <w:bCs/>
          <w:color w:val="000000"/>
          <w:sz w:val="28"/>
          <w:szCs w:val="28"/>
          <w:u w:val="single"/>
        </w:rPr>
        <w:t xml:space="preserve">for </w:t>
      </w:r>
      <w:r w:rsidR="003E5BAF" w:rsidRPr="00617809">
        <w:rPr>
          <w:b/>
          <w:bCs/>
          <w:color w:val="000000"/>
          <w:sz w:val="28"/>
          <w:szCs w:val="28"/>
          <w:u w:val="single"/>
        </w:rPr>
        <w:t>causality assessment</w:t>
      </w:r>
      <w:r w:rsidRPr="00617809">
        <w:rPr>
          <w:b/>
          <w:bCs/>
          <w:color w:val="000000"/>
          <w:sz w:val="28"/>
          <w:szCs w:val="28"/>
          <w:u w:val="single"/>
        </w:rPr>
        <w:t>.</w:t>
      </w:r>
    </w:p>
    <w:p w14:paraId="0D0758E1" w14:textId="0ABE5E4E" w:rsidR="00B6790E" w:rsidRPr="00C02BBE" w:rsidRDefault="00B6790E" w:rsidP="00E331AF">
      <w:pPr>
        <w:spacing w:before="120" w:after="120" w:line="360" w:lineRule="auto"/>
        <w:ind w:left="540"/>
        <w:jc w:val="both"/>
        <w:rPr>
          <w:bCs/>
          <w:iCs/>
          <w:color w:val="000000" w:themeColor="text1"/>
          <w:sz w:val="24"/>
          <w:szCs w:val="24"/>
        </w:rPr>
      </w:pPr>
      <w:r w:rsidRPr="00C02BBE">
        <w:rPr>
          <w:bCs/>
          <w:color w:val="000000"/>
          <w:sz w:val="24"/>
          <w:szCs w:val="24"/>
        </w:rPr>
        <w:t>Naranjo is one of the most widely used method</w:t>
      </w:r>
      <w:r>
        <w:rPr>
          <w:bCs/>
          <w:color w:val="000000"/>
          <w:sz w:val="24"/>
          <w:szCs w:val="24"/>
        </w:rPr>
        <w:t>s</w:t>
      </w:r>
      <w:r w:rsidRPr="00C02BBE">
        <w:rPr>
          <w:bCs/>
          <w:color w:val="000000"/>
          <w:sz w:val="24"/>
          <w:szCs w:val="24"/>
        </w:rPr>
        <w:t xml:space="preserve">. It is a questionnaire designed by </w:t>
      </w:r>
      <w:hyperlink r:id="rId56" w:history="1">
        <w:r w:rsidRPr="00CC4EF0">
          <w:rPr>
            <w:rStyle w:val="Hyperlink"/>
            <w:bCs/>
            <w:sz w:val="24"/>
            <w:szCs w:val="24"/>
          </w:rPr>
          <w:t>Naranjo et al</w:t>
        </w:r>
      </w:hyperlink>
      <w:r w:rsidRPr="00C02BBE">
        <w:rPr>
          <w:bCs/>
          <w:color w:val="000000"/>
          <w:sz w:val="24"/>
          <w:szCs w:val="24"/>
        </w:rPr>
        <w:t xml:space="preserve">, </w:t>
      </w:r>
      <w:r w:rsidRPr="00C02BBE">
        <w:rPr>
          <w:color w:val="000000"/>
          <w:sz w:val="24"/>
          <w:szCs w:val="24"/>
        </w:rPr>
        <w:t>to determine the likelihood of whether an ADR is actually due to the drug rather</w:t>
      </w:r>
      <w:r w:rsidRPr="00C02BBE">
        <w:rPr>
          <w:color w:val="000000"/>
        </w:rPr>
        <w:t xml:space="preserve"> </w:t>
      </w:r>
      <w:r w:rsidRPr="00C02BBE">
        <w:rPr>
          <w:color w:val="000000"/>
          <w:sz w:val="24"/>
          <w:szCs w:val="24"/>
        </w:rPr>
        <w:t>than the result of other factors</w:t>
      </w:r>
      <w:r w:rsidRPr="00C02BBE">
        <w:rPr>
          <w:b/>
          <w:color w:val="000000"/>
          <w:sz w:val="24"/>
          <w:szCs w:val="24"/>
        </w:rPr>
        <w:t>.</w:t>
      </w:r>
      <w:r w:rsidRPr="00C02BBE">
        <w:rPr>
          <w:color w:val="000000"/>
          <w:sz w:val="24"/>
          <w:szCs w:val="24"/>
        </w:rPr>
        <w:t xml:space="preserve"> It uses </w:t>
      </w:r>
      <w:r w:rsidRPr="00C02BBE">
        <w:rPr>
          <w:bCs/>
          <w:color w:val="000000"/>
          <w:sz w:val="24"/>
          <w:szCs w:val="24"/>
        </w:rPr>
        <w:t xml:space="preserve">a series of 10 questions and these questions can be answered as </w:t>
      </w:r>
      <w:r w:rsidRPr="00C02BBE">
        <w:rPr>
          <w:bCs/>
          <w:iCs/>
          <w:color w:val="000000"/>
          <w:sz w:val="24"/>
          <w:szCs w:val="24"/>
        </w:rPr>
        <w:t>Yes</w:t>
      </w:r>
      <w:r w:rsidRPr="00C02BBE">
        <w:rPr>
          <w:bCs/>
          <w:color w:val="000000"/>
          <w:sz w:val="24"/>
          <w:szCs w:val="24"/>
        </w:rPr>
        <w:t xml:space="preserve">, </w:t>
      </w:r>
      <w:r w:rsidRPr="00C02BBE">
        <w:rPr>
          <w:bCs/>
          <w:iCs/>
          <w:color w:val="000000"/>
          <w:sz w:val="24"/>
          <w:szCs w:val="24"/>
        </w:rPr>
        <w:t xml:space="preserve">No </w:t>
      </w:r>
      <w:r w:rsidRPr="00C02BBE">
        <w:rPr>
          <w:bCs/>
          <w:color w:val="000000"/>
          <w:sz w:val="24"/>
          <w:szCs w:val="24"/>
        </w:rPr>
        <w:t>or do</w:t>
      </w:r>
      <w:r w:rsidRPr="00C02BBE">
        <w:rPr>
          <w:bCs/>
          <w:iCs/>
          <w:color w:val="000000"/>
          <w:sz w:val="24"/>
          <w:szCs w:val="24"/>
        </w:rPr>
        <w:t xml:space="preserve"> not know. Answers are weighted with scores (-1 </w:t>
      </w:r>
      <w:r w:rsidRPr="00C02BBE">
        <w:rPr>
          <w:bCs/>
          <w:iCs/>
          <w:color w:val="000000" w:themeColor="text1"/>
          <w:sz w:val="24"/>
          <w:szCs w:val="24"/>
        </w:rPr>
        <w:t xml:space="preserve">to +2) and </w:t>
      </w:r>
      <w:r>
        <w:rPr>
          <w:bCs/>
          <w:iCs/>
          <w:color w:val="000000" w:themeColor="text1"/>
          <w:sz w:val="24"/>
          <w:szCs w:val="24"/>
        </w:rPr>
        <w:t xml:space="preserve">the </w:t>
      </w:r>
      <w:r w:rsidRPr="00C02BBE">
        <w:rPr>
          <w:bCs/>
          <w:iCs/>
          <w:color w:val="000000" w:themeColor="text1"/>
          <w:sz w:val="24"/>
          <w:szCs w:val="24"/>
        </w:rPr>
        <w:t>total score is ranked on four probability scale</w:t>
      </w:r>
      <w:r>
        <w:rPr>
          <w:bCs/>
          <w:iCs/>
          <w:color w:val="000000" w:themeColor="text1"/>
          <w:sz w:val="24"/>
          <w:szCs w:val="24"/>
        </w:rPr>
        <w:t>s, the answer of the aggregate score is the result of causality assessment</w:t>
      </w:r>
      <w:r w:rsidRPr="00C02BBE">
        <w:rPr>
          <w:bCs/>
          <w:iCs/>
          <w:color w:val="000000" w:themeColor="text1"/>
          <w:sz w:val="24"/>
          <w:szCs w:val="24"/>
        </w:rPr>
        <w:t>:</w:t>
      </w:r>
    </w:p>
    <w:p w14:paraId="6DE95653" w14:textId="77777777" w:rsidR="00B6790E" w:rsidRPr="00C02BBE" w:rsidRDefault="00B6790E" w:rsidP="00B551AA">
      <w:pPr>
        <w:pStyle w:val="ListParagraph"/>
        <w:widowControl/>
        <w:numPr>
          <w:ilvl w:val="0"/>
          <w:numId w:val="44"/>
        </w:numPr>
        <w:spacing w:before="120" w:after="120" w:line="360" w:lineRule="auto"/>
        <w:ind w:left="1260" w:hanging="180"/>
        <w:contextualSpacing w:val="0"/>
        <w:jc w:val="both"/>
        <w:rPr>
          <w:bCs/>
          <w:iCs/>
          <w:color w:val="000000" w:themeColor="text1"/>
          <w:sz w:val="24"/>
          <w:szCs w:val="24"/>
        </w:rPr>
      </w:pPr>
      <w:r w:rsidRPr="00C02BBE">
        <w:rPr>
          <w:bCs/>
          <w:iCs/>
          <w:color w:val="000000" w:themeColor="text1"/>
          <w:sz w:val="24"/>
          <w:szCs w:val="24"/>
        </w:rPr>
        <w:t>“</w:t>
      </w:r>
      <w:r w:rsidRPr="00C02BBE">
        <w:rPr>
          <w:bCs/>
          <w:i/>
          <w:iCs/>
          <w:color w:val="000000" w:themeColor="text1"/>
          <w:sz w:val="24"/>
          <w:szCs w:val="24"/>
        </w:rPr>
        <w:t>Definite”</w:t>
      </w:r>
      <w:r w:rsidRPr="00C02BBE">
        <w:rPr>
          <w:bCs/>
          <w:iCs/>
          <w:color w:val="000000" w:themeColor="text1"/>
          <w:sz w:val="24"/>
          <w:szCs w:val="24"/>
        </w:rPr>
        <w:t xml:space="preserve"> </w:t>
      </w:r>
      <w:r w:rsidRPr="00C02BBE">
        <w:rPr>
          <w:bCs/>
          <w:i/>
          <w:iCs/>
          <w:color w:val="000000" w:themeColor="text1"/>
          <w:sz w:val="24"/>
          <w:szCs w:val="24"/>
        </w:rPr>
        <w:t>(Certain):</w:t>
      </w:r>
      <w:r w:rsidRPr="00C02BBE">
        <w:rPr>
          <w:bCs/>
          <w:iCs/>
          <w:color w:val="000000" w:themeColor="text1"/>
          <w:sz w:val="24"/>
          <w:szCs w:val="24"/>
        </w:rPr>
        <w:t xml:space="preserve"> if </w:t>
      </w:r>
      <w:r>
        <w:rPr>
          <w:bCs/>
          <w:iCs/>
          <w:color w:val="000000" w:themeColor="text1"/>
          <w:sz w:val="24"/>
          <w:szCs w:val="24"/>
        </w:rPr>
        <w:t xml:space="preserve">the </w:t>
      </w:r>
      <w:r w:rsidRPr="00C02BBE">
        <w:rPr>
          <w:bCs/>
          <w:iCs/>
          <w:color w:val="000000" w:themeColor="text1"/>
          <w:sz w:val="24"/>
          <w:szCs w:val="24"/>
        </w:rPr>
        <w:t>score is more than 9.</w:t>
      </w:r>
    </w:p>
    <w:p w14:paraId="2BA19CE6" w14:textId="77777777" w:rsidR="00B6790E" w:rsidRPr="00C02BBE" w:rsidRDefault="00B6790E" w:rsidP="00B551AA">
      <w:pPr>
        <w:pStyle w:val="ListParagraph"/>
        <w:widowControl/>
        <w:numPr>
          <w:ilvl w:val="0"/>
          <w:numId w:val="44"/>
        </w:numPr>
        <w:spacing w:before="120" w:after="120" w:line="360" w:lineRule="auto"/>
        <w:ind w:left="1260" w:hanging="180"/>
        <w:contextualSpacing w:val="0"/>
        <w:jc w:val="both"/>
        <w:rPr>
          <w:bCs/>
          <w:iCs/>
          <w:color w:val="000000" w:themeColor="text1"/>
          <w:sz w:val="24"/>
          <w:szCs w:val="24"/>
        </w:rPr>
      </w:pPr>
      <w:r w:rsidRPr="00C02BBE">
        <w:rPr>
          <w:bCs/>
          <w:i/>
          <w:iCs/>
          <w:color w:val="000000" w:themeColor="text1"/>
          <w:sz w:val="24"/>
          <w:szCs w:val="24"/>
        </w:rPr>
        <w:t>“Probable”:</w:t>
      </w:r>
      <w:r w:rsidRPr="00C02BBE">
        <w:rPr>
          <w:bCs/>
          <w:iCs/>
          <w:color w:val="000000" w:themeColor="text1"/>
          <w:sz w:val="24"/>
          <w:szCs w:val="24"/>
        </w:rPr>
        <w:t xml:space="preserve"> if </w:t>
      </w:r>
      <w:r>
        <w:rPr>
          <w:bCs/>
          <w:iCs/>
          <w:color w:val="000000" w:themeColor="text1"/>
          <w:sz w:val="24"/>
          <w:szCs w:val="24"/>
        </w:rPr>
        <w:t xml:space="preserve">the </w:t>
      </w:r>
      <w:r w:rsidRPr="00C02BBE">
        <w:rPr>
          <w:bCs/>
          <w:iCs/>
          <w:color w:val="000000" w:themeColor="text1"/>
          <w:sz w:val="24"/>
          <w:szCs w:val="24"/>
        </w:rPr>
        <w:t>score is between 5 -8.</w:t>
      </w:r>
    </w:p>
    <w:p w14:paraId="720CE903" w14:textId="77777777" w:rsidR="00B6790E" w:rsidRPr="00C02BBE" w:rsidRDefault="00B6790E" w:rsidP="00B551AA">
      <w:pPr>
        <w:pStyle w:val="ListParagraph"/>
        <w:widowControl/>
        <w:numPr>
          <w:ilvl w:val="0"/>
          <w:numId w:val="44"/>
        </w:numPr>
        <w:spacing w:before="120" w:after="120" w:line="360" w:lineRule="auto"/>
        <w:ind w:left="1260" w:hanging="180"/>
        <w:contextualSpacing w:val="0"/>
        <w:jc w:val="both"/>
        <w:rPr>
          <w:bCs/>
          <w:iCs/>
          <w:color w:val="000000" w:themeColor="text1"/>
          <w:sz w:val="24"/>
          <w:szCs w:val="24"/>
        </w:rPr>
      </w:pPr>
      <w:r w:rsidRPr="00C02BBE">
        <w:rPr>
          <w:bCs/>
          <w:i/>
          <w:iCs/>
          <w:color w:val="000000" w:themeColor="text1"/>
          <w:sz w:val="24"/>
          <w:szCs w:val="24"/>
        </w:rPr>
        <w:t>“Possible”:</w:t>
      </w:r>
      <w:r w:rsidRPr="00C02BBE">
        <w:rPr>
          <w:bCs/>
          <w:iCs/>
          <w:color w:val="000000" w:themeColor="text1"/>
          <w:sz w:val="24"/>
          <w:szCs w:val="24"/>
        </w:rPr>
        <w:t xml:space="preserve"> if </w:t>
      </w:r>
      <w:r>
        <w:rPr>
          <w:bCs/>
          <w:iCs/>
          <w:color w:val="000000" w:themeColor="text1"/>
          <w:sz w:val="24"/>
          <w:szCs w:val="24"/>
        </w:rPr>
        <w:t xml:space="preserve">the </w:t>
      </w:r>
      <w:r w:rsidRPr="00C02BBE">
        <w:rPr>
          <w:bCs/>
          <w:iCs/>
          <w:color w:val="000000" w:themeColor="text1"/>
          <w:sz w:val="24"/>
          <w:szCs w:val="24"/>
        </w:rPr>
        <w:t>score is between 1-4.</w:t>
      </w:r>
    </w:p>
    <w:p w14:paraId="74540089" w14:textId="06CD55EF" w:rsidR="00B6790E" w:rsidRDefault="00B6790E" w:rsidP="00B551AA">
      <w:pPr>
        <w:pStyle w:val="ListParagraph"/>
        <w:widowControl/>
        <w:numPr>
          <w:ilvl w:val="0"/>
          <w:numId w:val="44"/>
        </w:numPr>
        <w:spacing w:before="120" w:after="120" w:line="360" w:lineRule="auto"/>
        <w:ind w:left="1260" w:hanging="180"/>
        <w:contextualSpacing w:val="0"/>
        <w:jc w:val="both"/>
        <w:rPr>
          <w:bCs/>
          <w:iCs/>
          <w:color w:val="000000" w:themeColor="text1"/>
          <w:sz w:val="24"/>
          <w:szCs w:val="24"/>
        </w:rPr>
      </w:pPr>
      <w:r w:rsidRPr="00C02BBE">
        <w:rPr>
          <w:bCs/>
          <w:iCs/>
          <w:color w:val="000000" w:themeColor="text1"/>
          <w:sz w:val="24"/>
          <w:szCs w:val="24"/>
        </w:rPr>
        <w:t>“</w:t>
      </w:r>
      <w:r w:rsidRPr="00C02BBE">
        <w:rPr>
          <w:bCs/>
          <w:i/>
          <w:iCs/>
          <w:color w:val="000000" w:themeColor="text1"/>
          <w:sz w:val="24"/>
          <w:szCs w:val="24"/>
        </w:rPr>
        <w:t>Doubtful” (Unlikely):</w:t>
      </w:r>
      <w:r w:rsidRPr="00C02BBE">
        <w:rPr>
          <w:bCs/>
          <w:iCs/>
          <w:color w:val="000000" w:themeColor="text1"/>
          <w:sz w:val="24"/>
          <w:szCs w:val="24"/>
        </w:rPr>
        <w:t xml:space="preserve"> if is less than 1.</w:t>
      </w:r>
    </w:p>
    <w:tbl>
      <w:tblPr>
        <w:tblStyle w:val="TableGrid"/>
        <w:tblW w:w="9535" w:type="dxa"/>
        <w:tblLook w:val="04A0" w:firstRow="1" w:lastRow="0" w:firstColumn="1" w:lastColumn="0" w:noHBand="0" w:noVBand="1"/>
      </w:tblPr>
      <w:tblGrid>
        <w:gridCol w:w="737"/>
        <w:gridCol w:w="5092"/>
        <w:gridCol w:w="719"/>
        <w:gridCol w:w="629"/>
        <w:gridCol w:w="1616"/>
        <w:gridCol w:w="742"/>
      </w:tblGrid>
      <w:tr w:rsidR="00B6790E" w:rsidRPr="00214593" w14:paraId="048B7EE9" w14:textId="77777777" w:rsidTr="00B6790E">
        <w:trPr>
          <w:trHeight w:val="350"/>
        </w:trPr>
        <w:tc>
          <w:tcPr>
            <w:tcW w:w="737" w:type="dxa"/>
            <w:shd w:val="clear" w:color="auto" w:fill="4472C4" w:themeFill="accent1"/>
          </w:tcPr>
          <w:p w14:paraId="085286A7" w14:textId="77777777" w:rsidR="00B6790E" w:rsidRPr="00E160DB" w:rsidRDefault="00B6790E" w:rsidP="00E56547">
            <w:pPr>
              <w:rPr>
                <w:rFonts w:asciiTheme="majorBidi" w:hAnsiTheme="majorBidi" w:cstheme="majorBidi"/>
                <w:b/>
                <w:bCs/>
              </w:rPr>
            </w:pPr>
            <w:r w:rsidRPr="00E160DB">
              <w:rPr>
                <w:rFonts w:asciiTheme="majorBidi" w:hAnsiTheme="majorBidi" w:cstheme="majorBidi"/>
                <w:b/>
                <w:bCs/>
              </w:rPr>
              <w:t>S. No</w:t>
            </w:r>
          </w:p>
        </w:tc>
        <w:tc>
          <w:tcPr>
            <w:tcW w:w="5092" w:type="dxa"/>
            <w:shd w:val="clear" w:color="auto" w:fill="4472C4" w:themeFill="accent1"/>
          </w:tcPr>
          <w:p w14:paraId="61047ACD" w14:textId="77777777" w:rsidR="00B6790E" w:rsidRPr="00E160DB" w:rsidRDefault="00B6790E" w:rsidP="00E56547">
            <w:pPr>
              <w:rPr>
                <w:rFonts w:asciiTheme="majorBidi" w:hAnsiTheme="majorBidi" w:cstheme="majorBidi"/>
                <w:b/>
                <w:bCs/>
              </w:rPr>
            </w:pPr>
            <w:r w:rsidRPr="00E160DB">
              <w:rPr>
                <w:rFonts w:asciiTheme="majorBidi" w:hAnsiTheme="majorBidi" w:cstheme="majorBidi"/>
                <w:b/>
                <w:bCs/>
              </w:rPr>
              <w:t>Question</w:t>
            </w:r>
          </w:p>
        </w:tc>
        <w:tc>
          <w:tcPr>
            <w:tcW w:w="719" w:type="dxa"/>
            <w:shd w:val="clear" w:color="auto" w:fill="4472C4" w:themeFill="accent1"/>
          </w:tcPr>
          <w:p w14:paraId="03E7E4EA" w14:textId="77777777" w:rsidR="00B6790E" w:rsidRPr="00E160DB" w:rsidRDefault="00B6790E" w:rsidP="00E56547">
            <w:pPr>
              <w:rPr>
                <w:rFonts w:asciiTheme="majorBidi" w:hAnsiTheme="majorBidi" w:cstheme="majorBidi"/>
                <w:b/>
                <w:bCs/>
              </w:rPr>
            </w:pPr>
            <w:r w:rsidRPr="00E160DB">
              <w:rPr>
                <w:rFonts w:asciiTheme="majorBidi" w:hAnsiTheme="majorBidi" w:cstheme="majorBidi"/>
                <w:b/>
                <w:bCs/>
              </w:rPr>
              <w:t xml:space="preserve">Yes </w:t>
            </w:r>
          </w:p>
        </w:tc>
        <w:tc>
          <w:tcPr>
            <w:tcW w:w="629" w:type="dxa"/>
            <w:shd w:val="clear" w:color="auto" w:fill="4472C4" w:themeFill="accent1"/>
          </w:tcPr>
          <w:p w14:paraId="7245A1B2" w14:textId="77777777" w:rsidR="00B6790E" w:rsidRPr="00E160DB" w:rsidRDefault="00B6790E" w:rsidP="00E56547">
            <w:pPr>
              <w:rPr>
                <w:rFonts w:asciiTheme="majorBidi" w:hAnsiTheme="majorBidi" w:cstheme="majorBidi"/>
                <w:b/>
                <w:bCs/>
              </w:rPr>
            </w:pPr>
            <w:r w:rsidRPr="00E160DB">
              <w:rPr>
                <w:rFonts w:asciiTheme="majorBidi" w:hAnsiTheme="majorBidi" w:cstheme="majorBidi"/>
                <w:b/>
                <w:bCs/>
              </w:rPr>
              <w:t>No</w:t>
            </w:r>
          </w:p>
        </w:tc>
        <w:tc>
          <w:tcPr>
            <w:tcW w:w="1616" w:type="dxa"/>
            <w:shd w:val="clear" w:color="auto" w:fill="4472C4" w:themeFill="accent1"/>
          </w:tcPr>
          <w:p w14:paraId="74592ECF" w14:textId="77777777" w:rsidR="00B6790E" w:rsidRPr="00E160DB" w:rsidRDefault="00B6790E" w:rsidP="00E56547">
            <w:pPr>
              <w:rPr>
                <w:rFonts w:asciiTheme="majorBidi" w:hAnsiTheme="majorBidi" w:cstheme="majorBidi"/>
                <w:b/>
                <w:bCs/>
              </w:rPr>
            </w:pPr>
            <w:r w:rsidRPr="00E160DB">
              <w:rPr>
                <w:rFonts w:asciiTheme="majorBidi" w:hAnsiTheme="majorBidi" w:cstheme="majorBidi"/>
                <w:b/>
                <w:bCs/>
              </w:rPr>
              <w:t>Don’t Know</w:t>
            </w:r>
          </w:p>
        </w:tc>
        <w:tc>
          <w:tcPr>
            <w:tcW w:w="742" w:type="dxa"/>
            <w:shd w:val="clear" w:color="auto" w:fill="4472C4" w:themeFill="accent1"/>
          </w:tcPr>
          <w:p w14:paraId="1C65B2DD" w14:textId="77777777" w:rsidR="00B6790E" w:rsidRPr="00E160DB" w:rsidRDefault="00B6790E" w:rsidP="00E56547">
            <w:pPr>
              <w:rPr>
                <w:rFonts w:asciiTheme="majorBidi" w:hAnsiTheme="majorBidi" w:cstheme="majorBidi"/>
                <w:b/>
                <w:bCs/>
              </w:rPr>
            </w:pPr>
            <w:r w:rsidRPr="00E160DB">
              <w:rPr>
                <w:rFonts w:asciiTheme="majorBidi" w:hAnsiTheme="majorBidi" w:cstheme="majorBidi"/>
                <w:b/>
                <w:bCs/>
              </w:rPr>
              <w:t>Score</w:t>
            </w:r>
          </w:p>
        </w:tc>
      </w:tr>
      <w:tr w:rsidR="00B6790E" w:rsidRPr="00214593" w14:paraId="3845B78B" w14:textId="77777777" w:rsidTr="00B6790E">
        <w:trPr>
          <w:trHeight w:val="305"/>
        </w:trPr>
        <w:tc>
          <w:tcPr>
            <w:tcW w:w="737" w:type="dxa"/>
          </w:tcPr>
          <w:p w14:paraId="76907414" w14:textId="77777777" w:rsidR="00B6790E" w:rsidRPr="00214593" w:rsidRDefault="00B6790E" w:rsidP="00B551AA">
            <w:pPr>
              <w:pStyle w:val="ListParagraph"/>
              <w:widowControl/>
              <w:numPr>
                <w:ilvl w:val="0"/>
                <w:numId w:val="64"/>
              </w:numPr>
              <w:tabs>
                <w:tab w:val="left" w:pos="360"/>
                <w:tab w:val="left" w:pos="480"/>
              </w:tabs>
              <w:rPr>
                <w:rFonts w:asciiTheme="majorBidi" w:hAnsiTheme="majorBidi" w:cstheme="majorBidi"/>
              </w:rPr>
            </w:pPr>
          </w:p>
        </w:tc>
        <w:tc>
          <w:tcPr>
            <w:tcW w:w="5092" w:type="dxa"/>
          </w:tcPr>
          <w:p w14:paraId="1EC20F64"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Are there previous conclusive reports on this reaction?</w:t>
            </w:r>
          </w:p>
        </w:tc>
        <w:tc>
          <w:tcPr>
            <w:tcW w:w="719" w:type="dxa"/>
          </w:tcPr>
          <w:p w14:paraId="15D52701"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2D460344"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1616" w:type="dxa"/>
          </w:tcPr>
          <w:p w14:paraId="71F8207E"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570364FA" w14:textId="77777777" w:rsidR="00B6790E" w:rsidRPr="00214593" w:rsidRDefault="00B6790E" w:rsidP="00E56547">
            <w:pPr>
              <w:rPr>
                <w:rFonts w:asciiTheme="majorBidi" w:hAnsiTheme="majorBidi" w:cstheme="majorBidi"/>
              </w:rPr>
            </w:pPr>
          </w:p>
        </w:tc>
      </w:tr>
      <w:tr w:rsidR="00B6790E" w:rsidRPr="00214593" w14:paraId="3E650EE4" w14:textId="77777777" w:rsidTr="00B6790E">
        <w:trPr>
          <w:trHeight w:val="479"/>
        </w:trPr>
        <w:tc>
          <w:tcPr>
            <w:tcW w:w="737" w:type="dxa"/>
          </w:tcPr>
          <w:p w14:paraId="659F1879"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237AD704"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Did the adverse event appear after the suspected drug was administered</w:t>
            </w:r>
            <w:r>
              <w:rPr>
                <w:rFonts w:asciiTheme="majorBidi" w:hAnsiTheme="majorBidi" w:cstheme="majorBidi"/>
                <w:color w:val="000000"/>
                <w:shd w:val="clear" w:color="auto" w:fill="FFFFFF"/>
              </w:rPr>
              <w:t>?</w:t>
            </w:r>
          </w:p>
        </w:tc>
        <w:tc>
          <w:tcPr>
            <w:tcW w:w="719" w:type="dxa"/>
          </w:tcPr>
          <w:p w14:paraId="3A976E00" w14:textId="77777777" w:rsidR="00B6790E" w:rsidRPr="00214593" w:rsidRDefault="00B6790E" w:rsidP="00E56547">
            <w:pPr>
              <w:rPr>
                <w:rFonts w:asciiTheme="majorBidi" w:hAnsiTheme="majorBidi" w:cstheme="majorBidi"/>
              </w:rPr>
            </w:pPr>
            <w:r>
              <w:rPr>
                <w:rFonts w:asciiTheme="majorBidi" w:hAnsiTheme="majorBidi" w:cstheme="majorBidi"/>
              </w:rPr>
              <w:t>+2</w:t>
            </w:r>
          </w:p>
        </w:tc>
        <w:tc>
          <w:tcPr>
            <w:tcW w:w="629" w:type="dxa"/>
          </w:tcPr>
          <w:p w14:paraId="5E63BCA8"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1616" w:type="dxa"/>
          </w:tcPr>
          <w:p w14:paraId="33495DE3"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20A393AD" w14:textId="77777777" w:rsidR="00B6790E" w:rsidRPr="00214593" w:rsidRDefault="00B6790E" w:rsidP="00E56547">
            <w:pPr>
              <w:rPr>
                <w:rFonts w:asciiTheme="majorBidi" w:hAnsiTheme="majorBidi" w:cstheme="majorBidi"/>
              </w:rPr>
            </w:pPr>
          </w:p>
        </w:tc>
      </w:tr>
      <w:tr w:rsidR="00B6790E" w:rsidRPr="00214593" w14:paraId="1F40E6CC" w14:textId="77777777" w:rsidTr="00B6790E">
        <w:trPr>
          <w:trHeight w:val="453"/>
        </w:trPr>
        <w:tc>
          <w:tcPr>
            <w:tcW w:w="737" w:type="dxa"/>
          </w:tcPr>
          <w:p w14:paraId="45F91FC3"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01445B01"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Did the adverse event improve when the drug was discontinued or a specific antagonist was administered?</w:t>
            </w:r>
          </w:p>
        </w:tc>
        <w:tc>
          <w:tcPr>
            <w:tcW w:w="719" w:type="dxa"/>
          </w:tcPr>
          <w:p w14:paraId="3663DCB4"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3016A6BB"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1616" w:type="dxa"/>
          </w:tcPr>
          <w:p w14:paraId="700721DB"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5CAACB2A" w14:textId="77777777" w:rsidR="00B6790E" w:rsidRPr="00214593" w:rsidRDefault="00B6790E" w:rsidP="00E56547">
            <w:pPr>
              <w:rPr>
                <w:rFonts w:asciiTheme="majorBidi" w:hAnsiTheme="majorBidi" w:cstheme="majorBidi"/>
              </w:rPr>
            </w:pPr>
          </w:p>
        </w:tc>
      </w:tr>
      <w:tr w:rsidR="00B6790E" w:rsidRPr="00214593" w14:paraId="0C5AEBB1" w14:textId="77777777" w:rsidTr="00B6790E">
        <w:trPr>
          <w:trHeight w:val="479"/>
        </w:trPr>
        <w:tc>
          <w:tcPr>
            <w:tcW w:w="737" w:type="dxa"/>
          </w:tcPr>
          <w:p w14:paraId="17E2E01A"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75BBFD90"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Did the adverse event reappear when the drug was re</w:t>
            </w:r>
            <w:r>
              <w:rPr>
                <w:rFonts w:asciiTheme="majorBidi" w:hAnsiTheme="majorBidi" w:cstheme="majorBidi"/>
                <w:color w:val="000000"/>
                <w:shd w:val="clear" w:color="auto" w:fill="FFFFFF"/>
              </w:rPr>
              <w:t>-</w:t>
            </w:r>
            <w:r w:rsidRPr="00214593">
              <w:rPr>
                <w:rFonts w:asciiTheme="majorBidi" w:hAnsiTheme="majorBidi" w:cstheme="majorBidi"/>
                <w:color w:val="000000"/>
                <w:shd w:val="clear" w:color="auto" w:fill="FFFFFF"/>
              </w:rPr>
              <w:t>administered?</w:t>
            </w:r>
          </w:p>
        </w:tc>
        <w:tc>
          <w:tcPr>
            <w:tcW w:w="719" w:type="dxa"/>
          </w:tcPr>
          <w:p w14:paraId="47FB7F63" w14:textId="77777777" w:rsidR="00B6790E" w:rsidRPr="00214593" w:rsidRDefault="00B6790E" w:rsidP="00E56547">
            <w:pPr>
              <w:rPr>
                <w:rFonts w:asciiTheme="majorBidi" w:hAnsiTheme="majorBidi" w:cstheme="majorBidi"/>
              </w:rPr>
            </w:pPr>
            <w:r>
              <w:rPr>
                <w:rFonts w:asciiTheme="majorBidi" w:hAnsiTheme="majorBidi" w:cstheme="majorBidi"/>
              </w:rPr>
              <w:t>+2</w:t>
            </w:r>
          </w:p>
        </w:tc>
        <w:tc>
          <w:tcPr>
            <w:tcW w:w="629" w:type="dxa"/>
          </w:tcPr>
          <w:p w14:paraId="1652DF65"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1616" w:type="dxa"/>
          </w:tcPr>
          <w:p w14:paraId="0450E4C9"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2E65A440" w14:textId="77777777" w:rsidR="00B6790E" w:rsidRPr="00214593" w:rsidRDefault="00B6790E" w:rsidP="00E56547">
            <w:pPr>
              <w:rPr>
                <w:rFonts w:asciiTheme="majorBidi" w:hAnsiTheme="majorBidi" w:cstheme="majorBidi"/>
              </w:rPr>
            </w:pPr>
          </w:p>
        </w:tc>
      </w:tr>
      <w:tr w:rsidR="00B6790E" w:rsidRPr="00214593" w14:paraId="4C040490" w14:textId="77777777" w:rsidTr="00B6790E">
        <w:trPr>
          <w:trHeight w:val="453"/>
        </w:trPr>
        <w:tc>
          <w:tcPr>
            <w:tcW w:w="737" w:type="dxa"/>
          </w:tcPr>
          <w:p w14:paraId="1710A0DF"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73F84DFF"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Are there alternative causes that could on their own have caused the reaction?</w:t>
            </w:r>
          </w:p>
        </w:tc>
        <w:tc>
          <w:tcPr>
            <w:tcW w:w="719" w:type="dxa"/>
          </w:tcPr>
          <w:p w14:paraId="17D51850"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65128575" w14:textId="77777777" w:rsidR="00B6790E" w:rsidRPr="00214593" w:rsidRDefault="00B6790E" w:rsidP="00E56547">
            <w:pPr>
              <w:rPr>
                <w:rFonts w:asciiTheme="majorBidi" w:hAnsiTheme="majorBidi" w:cstheme="majorBidi"/>
              </w:rPr>
            </w:pPr>
            <w:r>
              <w:rPr>
                <w:rFonts w:asciiTheme="majorBidi" w:hAnsiTheme="majorBidi" w:cstheme="majorBidi"/>
              </w:rPr>
              <w:t>+2</w:t>
            </w:r>
          </w:p>
        </w:tc>
        <w:tc>
          <w:tcPr>
            <w:tcW w:w="1616" w:type="dxa"/>
          </w:tcPr>
          <w:p w14:paraId="1296D5E3"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3F982D06" w14:textId="77777777" w:rsidR="00B6790E" w:rsidRPr="00214593" w:rsidRDefault="00B6790E" w:rsidP="00E56547">
            <w:pPr>
              <w:rPr>
                <w:rFonts w:asciiTheme="majorBidi" w:hAnsiTheme="majorBidi" w:cstheme="majorBidi"/>
              </w:rPr>
            </w:pPr>
          </w:p>
        </w:tc>
      </w:tr>
      <w:tr w:rsidR="00B6790E" w:rsidRPr="00214593" w14:paraId="1DC75DD0" w14:textId="77777777" w:rsidTr="00B6790E">
        <w:trPr>
          <w:trHeight w:val="368"/>
        </w:trPr>
        <w:tc>
          <w:tcPr>
            <w:tcW w:w="737" w:type="dxa"/>
          </w:tcPr>
          <w:p w14:paraId="512FE9CB"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3628F6A6"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Did the reaction reappear when a placebo was given?</w:t>
            </w:r>
          </w:p>
        </w:tc>
        <w:tc>
          <w:tcPr>
            <w:tcW w:w="719" w:type="dxa"/>
          </w:tcPr>
          <w:p w14:paraId="5C8B1957"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5F58130B"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1616" w:type="dxa"/>
          </w:tcPr>
          <w:p w14:paraId="50DF712D"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27059F92" w14:textId="77777777" w:rsidR="00B6790E" w:rsidRPr="00214593" w:rsidRDefault="00B6790E" w:rsidP="00E56547">
            <w:pPr>
              <w:rPr>
                <w:rFonts w:asciiTheme="majorBidi" w:hAnsiTheme="majorBidi" w:cstheme="majorBidi"/>
              </w:rPr>
            </w:pPr>
          </w:p>
        </w:tc>
      </w:tr>
      <w:tr w:rsidR="00B6790E" w:rsidRPr="00214593" w14:paraId="5670D4C6" w14:textId="77777777" w:rsidTr="00B6790E">
        <w:trPr>
          <w:trHeight w:val="479"/>
        </w:trPr>
        <w:tc>
          <w:tcPr>
            <w:tcW w:w="737" w:type="dxa"/>
          </w:tcPr>
          <w:p w14:paraId="0466A9C4"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718B7654"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Was the drug detected in blood or other fluids in concentrations known to be toxic?</w:t>
            </w:r>
          </w:p>
        </w:tc>
        <w:tc>
          <w:tcPr>
            <w:tcW w:w="719" w:type="dxa"/>
          </w:tcPr>
          <w:p w14:paraId="0E476237"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638F8875"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1616" w:type="dxa"/>
          </w:tcPr>
          <w:p w14:paraId="1472DE5A"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15C8E11D" w14:textId="77777777" w:rsidR="00B6790E" w:rsidRPr="00214593" w:rsidRDefault="00B6790E" w:rsidP="00E56547">
            <w:pPr>
              <w:rPr>
                <w:rFonts w:asciiTheme="majorBidi" w:hAnsiTheme="majorBidi" w:cstheme="majorBidi"/>
              </w:rPr>
            </w:pPr>
          </w:p>
        </w:tc>
      </w:tr>
      <w:tr w:rsidR="00B6790E" w:rsidRPr="00214593" w14:paraId="4455A495" w14:textId="77777777" w:rsidTr="00B6790E">
        <w:trPr>
          <w:trHeight w:val="453"/>
        </w:trPr>
        <w:tc>
          <w:tcPr>
            <w:tcW w:w="737" w:type="dxa"/>
          </w:tcPr>
          <w:p w14:paraId="419F9575"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22358811"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Was the reaction more severe when the dose was increased or less severe when the dose was decreased?</w:t>
            </w:r>
          </w:p>
        </w:tc>
        <w:tc>
          <w:tcPr>
            <w:tcW w:w="719" w:type="dxa"/>
          </w:tcPr>
          <w:p w14:paraId="7AB1B07D"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0DCCB415"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1616" w:type="dxa"/>
          </w:tcPr>
          <w:p w14:paraId="01254919"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0E71F1CB" w14:textId="77777777" w:rsidR="00B6790E" w:rsidRPr="00214593" w:rsidRDefault="00B6790E" w:rsidP="00E56547">
            <w:pPr>
              <w:rPr>
                <w:rFonts w:asciiTheme="majorBidi" w:hAnsiTheme="majorBidi" w:cstheme="majorBidi"/>
              </w:rPr>
            </w:pPr>
          </w:p>
        </w:tc>
      </w:tr>
      <w:tr w:rsidR="00B6790E" w:rsidRPr="00214593" w14:paraId="631C1554" w14:textId="77777777" w:rsidTr="00B6790E">
        <w:trPr>
          <w:trHeight w:val="479"/>
        </w:trPr>
        <w:tc>
          <w:tcPr>
            <w:tcW w:w="737" w:type="dxa"/>
          </w:tcPr>
          <w:p w14:paraId="2497B113"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6A70E5E4"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Did the patient have a similar reaction to the same or similar drugs in any previous exposure?</w:t>
            </w:r>
          </w:p>
        </w:tc>
        <w:tc>
          <w:tcPr>
            <w:tcW w:w="719" w:type="dxa"/>
          </w:tcPr>
          <w:p w14:paraId="08303A51"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3D39EAC6"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1616" w:type="dxa"/>
          </w:tcPr>
          <w:p w14:paraId="71F0945B"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35784C83" w14:textId="77777777" w:rsidR="00B6790E" w:rsidRPr="00214593" w:rsidRDefault="00B6790E" w:rsidP="00E56547">
            <w:pPr>
              <w:rPr>
                <w:rFonts w:asciiTheme="majorBidi" w:hAnsiTheme="majorBidi" w:cstheme="majorBidi"/>
              </w:rPr>
            </w:pPr>
          </w:p>
        </w:tc>
      </w:tr>
      <w:tr w:rsidR="00B6790E" w:rsidRPr="00214593" w14:paraId="45C22195" w14:textId="77777777" w:rsidTr="00B6790E">
        <w:trPr>
          <w:trHeight w:val="453"/>
        </w:trPr>
        <w:tc>
          <w:tcPr>
            <w:tcW w:w="737" w:type="dxa"/>
          </w:tcPr>
          <w:p w14:paraId="476B2C41" w14:textId="77777777" w:rsidR="00B6790E" w:rsidRPr="00214593" w:rsidRDefault="00B6790E" w:rsidP="00B551AA">
            <w:pPr>
              <w:pStyle w:val="ListParagraph"/>
              <w:widowControl/>
              <w:numPr>
                <w:ilvl w:val="0"/>
                <w:numId w:val="64"/>
              </w:numPr>
              <w:rPr>
                <w:rFonts w:asciiTheme="majorBidi" w:hAnsiTheme="majorBidi" w:cstheme="majorBidi"/>
              </w:rPr>
            </w:pPr>
          </w:p>
        </w:tc>
        <w:tc>
          <w:tcPr>
            <w:tcW w:w="5092" w:type="dxa"/>
          </w:tcPr>
          <w:p w14:paraId="758D934D" w14:textId="77777777" w:rsidR="00B6790E" w:rsidRPr="00214593" w:rsidRDefault="00B6790E" w:rsidP="00E56547">
            <w:pPr>
              <w:jc w:val="both"/>
              <w:rPr>
                <w:rFonts w:asciiTheme="majorBidi" w:hAnsiTheme="majorBidi" w:cstheme="majorBidi"/>
              </w:rPr>
            </w:pPr>
            <w:r w:rsidRPr="00214593">
              <w:rPr>
                <w:rFonts w:asciiTheme="majorBidi" w:hAnsiTheme="majorBidi" w:cstheme="majorBidi"/>
                <w:color w:val="000000"/>
                <w:shd w:val="clear" w:color="auto" w:fill="FFFFFF"/>
              </w:rPr>
              <w:t>Was the adverse event confirmed by any objective evidence?</w:t>
            </w:r>
          </w:p>
        </w:tc>
        <w:tc>
          <w:tcPr>
            <w:tcW w:w="719" w:type="dxa"/>
          </w:tcPr>
          <w:p w14:paraId="5358DB12" w14:textId="77777777" w:rsidR="00B6790E" w:rsidRPr="00214593" w:rsidRDefault="00B6790E" w:rsidP="00E56547">
            <w:pPr>
              <w:rPr>
                <w:rFonts w:asciiTheme="majorBidi" w:hAnsiTheme="majorBidi" w:cstheme="majorBidi"/>
              </w:rPr>
            </w:pPr>
            <w:r>
              <w:rPr>
                <w:rFonts w:asciiTheme="majorBidi" w:hAnsiTheme="majorBidi" w:cstheme="majorBidi"/>
              </w:rPr>
              <w:t>+1</w:t>
            </w:r>
          </w:p>
        </w:tc>
        <w:tc>
          <w:tcPr>
            <w:tcW w:w="629" w:type="dxa"/>
          </w:tcPr>
          <w:p w14:paraId="12D9232C"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1616" w:type="dxa"/>
          </w:tcPr>
          <w:p w14:paraId="2F271C76" w14:textId="77777777" w:rsidR="00B6790E" w:rsidRPr="00214593" w:rsidRDefault="00B6790E" w:rsidP="00E56547">
            <w:pPr>
              <w:rPr>
                <w:rFonts w:asciiTheme="majorBidi" w:hAnsiTheme="majorBidi" w:cstheme="majorBidi"/>
              </w:rPr>
            </w:pPr>
            <w:r>
              <w:rPr>
                <w:rFonts w:asciiTheme="majorBidi" w:hAnsiTheme="majorBidi" w:cstheme="majorBidi"/>
              </w:rPr>
              <w:t>0</w:t>
            </w:r>
          </w:p>
        </w:tc>
        <w:tc>
          <w:tcPr>
            <w:tcW w:w="742" w:type="dxa"/>
          </w:tcPr>
          <w:p w14:paraId="0A7BADAB" w14:textId="77777777" w:rsidR="00B6790E" w:rsidRPr="00214593" w:rsidRDefault="00B6790E" w:rsidP="00E56547">
            <w:pPr>
              <w:rPr>
                <w:rFonts w:asciiTheme="majorBidi" w:hAnsiTheme="majorBidi" w:cstheme="majorBidi"/>
              </w:rPr>
            </w:pPr>
          </w:p>
        </w:tc>
      </w:tr>
    </w:tbl>
    <w:p w14:paraId="0E666A19" w14:textId="76CB54D4" w:rsidR="00B6790E" w:rsidRPr="00B6790E" w:rsidRDefault="00B6790E" w:rsidP="00B6790E">
      <w:pPr>
        <w:widowControl/>
        <w:spacing w:after="200" w:line="360" w:lineRule="auto"/>
        <w:jc w:val="both"/>
        <w:rPr>
          <w:bCs/>
          <w:iCs/>
          <w:color w:val="000000" w:themeColor="text1"/>
          <w:sz w:val="24"/>
          <w:szCs w:val="24"/>
        </w:rPr>
      </w:pPr>
      <w:r>
        <w:rPr>
          <w:noProof/>
          <w:lang w:val="en-US"/>
        </w:rPr>
        <w:lastRenderedPageBreak/>
        <w:drawing>
          <wp:inline distT="0" distB="0" distL="0" distR="0" wp14:anchorId="21252F68" wp14:editId="5F85897F">
            <wp:extent cx="5943600" cy="1335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335405"/>
                    </a:xfrm>
                    <a:prstGeom prst="rect">
                      <a:avLst/>
                    </a:prstGeom>
                    <a:noFill/>
                    <a:ln>
                      <a:noFill/>
                    </a:ln>
                  </pic:spPr>
                </pic:pic>
              </a:graphicData>
            </a:graphic>
          </wp:inline>
        </w:drawing>
      </w:r>
    </w:p>
    <w:p w14:paraId="1B73FD0B" w14:textId="39298609" w:rsidR="00BD617B" w:rsidRPr="004C22CE" w:rsidRDefault="00BD617B" w:rsidP="00F54C7A">
      <w:pPr>
        <w:widowControl/>
        <w:spacing w:before="120" w:after="120" w:line="360" w:lineRule="auto"/>
        <w:jc w:val="both"/>
        <w:rPr>
          <w:b/>
          <w:bCs/>
          <w:iCs/>
          <w:color w:val="000000" w:themeColor="text1"/>
          <w:sz w:val="28"/>
          <w:szCs w:val="28"/>
          <w:u w:val="single"/>
        </w:rPr>
      </w:pPr>
      <w:r w:rsidRPr="009200EF">
        <w:rPr>
          <w:b/>
          <w:bCs/>
          <w:iCs/>
          <w:color w:val="000000" w:themeColor="text1"/>
          <w:sz w:val="28"/>
          <w:szCs w:val="28"/>
        </w:rPr>
        <w:t xml:space="preserve">6.4 </w:t>
      </w:r>
      <w:r w:rsidRPr="004C22CE">
        <w:rPr>
          <w:b/>
          <w:bCs/>
          <w:color w:val="000000" w:themeColor="text1"/>
          <w:sz w:val="28"/>
          <w:szCs w:val="28"/>
          <w:u w:val="single"/>
        </w:rPr>
        <w:t xml:space="preserve">WHO-UMC </w:t>
      </w:r>
      <w:r w:rsidR="003E5BAF" w:rsidRPr="004C22CE">
        <w:rPr>
          <w:b/>
          <w:bCs/>
          <w:color w:val="000000" w:themeColor="text1"/>
          <w:sz w:val="28"/>
          <w:szCs w:val="28"/>
          <w:u w:val="single"/>
        </w:rPr>
        <w:t xml:space="preserve">system </w:t>
      </w:r>
      <w:r w:rsidRPr="004C22CE">
        <w:rPr>
          <w:b/>
          <w:bCs/>
          <w:color w:val="000000" w:themeColor="text1"/>
          <w:sz w:val="28"/>
          <w:szCs w:val="28"/>
          <w:u w:val="single"/>
        </w:rPr>
        <w:t xml:space="preserve">for </w:t>
      </w:r>
      <w:r w:rsidR="003E5BAF" w:rsidRPr="004C22CE">
        <w:rPr>
          <w:b/>
          <w:bCs/>
          <w:color w:val="000000" w:themeColor="text1"/>
          <w:sz w:val="28"/>
          <w:szCs w:val="28"/>
          <w:u w:val="single"/>
        </w:rPr>
        <w:t>standardised case causality assessment</w:t>
      </w:r>
      <w:r w:rsidRPr="004C22CE">
        <w:rPr>
          <w:b/>
          <w:bCs/>
          <w:color w:val="000000" w:themeColor="text1"/>
          <w:sz w:val="28"/>
          <w:szCs w:val="28"/>
          <w:u w:val="single"/>
        </w:rPr>
        <w:t>.</w:t>
      </w:r>
    </w:p>
    <w:p w14:paraId="18B9F8CA" w14:textId="6EBC1402" w:rsidR="00B6790E" w:rsidRDefault="00B6790E" w:rsidP="006C03ED">
      <w:pPr>
        <w:spacing w:before="120" w:after="120" w:line="360" w:lineRule="auto"/>
        <w:ind w:left="540"/>
        <w:jc w:val="both"/>
        <w:rPr>
          <w:color w:val="000000" w:themeColor="text1"/>
          <w:sz w:val="24"/>
          <w:szCs w:val="24"/>
        </w:rPr>
      </w:pPr>
      <w:r w:rsidRPr="00C02BBE">
        <w:rPr>
          <w:color w:val="000000" w:themeColor="text1"/>
          <w:sz w:val="24"/>
          <w:szCs w:val="24"/>
        </w:rPr>
        <w:t xml:space="preserve">The </w:t>
      </w:r>
      <w:hyperlink r:id="rId58" w:history="1">
        <w:r w:rsidRPr="00A5298C">
          <w:rPr>
            <w:rStyle w:val="Hyperlink"/>
            <w:sz w:val="24"/>
            <w:szCs w:val="24"/>
          </w:rPr>
          <w:t>WHO-UMC system for standardised case causality assessment</w:t>
        </w:r>
      </w:hyperlink>
      <w:r w:rsidRPr="00C02BBE">
        <w:rPr>
          <w:color w:val="000000" w:themeColor="text1"/>
          <w:sz w:val="24"/>
          <w:szCs w:val="24"/>
        </w:rPr>
        <w:t xml:space="preserve"> has been developed in consultation with the National Centres participating in the Programme for International Drug Monitoring and is meant as a practical tool for the assessment of case reports. It is a combined assessment considering the clinical-pharmacological aspects of the case history and the quality of the documentation of the observation. Since pharmacovigilance is particularly concerned with the detection of unknown and unexpected adverse reactions, other criteria such as previous knowledge and statistical chance play a less prominent role in the system. It is recognised that the semantics of the definitions are critical and that individual judgement may therefore differ. </w:t>
      </w:r>
      <w:r>
        <w:rPr>
          <w:color w:val="000000" w:themeColor="text1"/>
          <w:sz w:val="24"/>
          <w:szCs w:val="24"/>
        </w:rPr>
        <w:t>Other algorithms</w:t>
      </w:r>
      <w:r w:rsidRPr="00C02BBE">
        <w:rPr>
          <w:color w:val="000000" w:themeColor="text1"/>
          <w:sz w:val="24"/>
          <w:szCs w:val="24"/>
        </w:rPr>
        <w:t xml:space="preserve"> are either very complex or too</w:t>
      </w:r>
      <w:r>
        <w:rPr>
          <w:color w:val="000000" w:themeColor="text1"/>
          <w:sz w:val="24"/>
          <w:szCs w:val="24"/>
        </w:rPr>
        <w:t xml:space="preserve"> </w:t>
      </w:r>
      <w:r w:rsidRPr="00C02BBE">
        <w:rPr>
          <w:color w:val="000000" w:themeColor="text1"/>
          <w:sz w:val="24"/>
          <w:szCs w:val="24"/>
        </w:rPr>
        <w:t>specific for general use. This method gives guidance to the general arguments which should</w:t>
      </w:r>
      <w:r>
        <w:rPr>
          <w:color w:val="000000" w:themeColor="text1"/>
          <w:sz w:val="24"/>
          <w:szCs w:val="24"/>
        </w:rPr>
        <w:t xml:space="preserve"> </w:t>
      </w:r>
      <w:r w:rsidRPr="00C02BBE">
        <w:rPr>
          <w:color w:val="000000" w:themeColor="text1"/>
          <w:sz w:val="24"/>
          <w:szCs w:val="24"/>
        </w:rPr>
        <w:t>be used to select one category over another.</w:t>
      </w:r>
      <w:r>
        <w:rPr>
          <w:color w:val="000000" w:themeColor="text1"/>
          <w:sz w:val="24"/>
          <w:szCs w:val="24"/>
        </w:rPr>
        <w:t xml:space="preserve"> </w:t>
      </w:r>
      <w:r w:rsidRPr="00C02BBE">
        <w:rPr>
          <w:color w:val="000000" w:themeColor="text1"/>
          <w:sz w:val="24"/>
          <w:szCs w:val="24"/>
        </w:rPr>
        <w:t>WHO-UMC causality assessment system considers the following criteria: timing of event; alternative explanations (disease or drugs); response to de</w:t>
      </w:r>
      <w:r>
        <w:rPr>
          <w:color w:val="000000" w:themeColor="text1"/>
          <w:sz w:val="24"/>
          <w:szCs w:val="24"/>
        </w:rPr>
        <w:t>-</w:t>
      </w:r>
      <w:r w:rsidRPr="00C02BBE">
        <w:rPr>
          <w:color w:val="000000" w:themeColor="text1"/>
          <w:sz w:val="24"/>
          <w:szCs w:val="24"/>
        </w:rPr>
        <w:t>challenge (withdrawal of drug); and response to re</w:t>
      </w:r>
      <w:r>
        <w:rPr>
          <w:color w:val="000000" w:themeColor="text1"/>
          <w:sz w:val="24"/>
          <w:szCs w:val="24"/>
        </w:rPr>
        <w:t>-</w:t>
      </w:r>
      <w:r w:rsidRPr="00C02BBE">
        <w:rPr>
          <w:color w:val="000000" w:themeColor="text1"/>
          <w:sz w:val="24"/>
          <w:szCs w:val="24"/>
        </w:rPr>
        <w:t xml:space="preserve">challenge (re-exposure to </w:t>
      </w:r>
      <w:r>
        <w:rPr>
          <w:color w:val="000000" w:themeColor="text1"/>
          <w:sz w:val="24"/>
          <w:szCs w:val="24"/>
        </w:rPr>
        <w:t xml:space="preserve">a </w:t>
      </w:r>
      <w:r w:rsidRPr="00C02BBE">
        <w:rPr>
          <w:color w:val="000000" w:themeColor="text1"/>
          <w:sz w:val="24"/>
          <w:szCs w:val="24"/>
        </w:rPr>
        <w:t>drug). Based on the above criteria the ADR can be classified into the following six categories</w:t>
      </w:r>
      <w:r>
        <w:rPr>
          <w:color w:val="000000" w:themeColor="text1"/>
          <w:sz w:val="24"/>
          <w:szCs w:val="24"/>
        </w:rPr>
        <w:t>.</w:t>
      </w:r>
    </w:p>
    <w:p w14:paraId="26473E65" w14:textId="6966196F" w:rsidR="00B6790E" w:rsidRPr="00C02BBE" w:rsidRDefault="00B6790E" w:rsidP="00B551AA">
      <w:pPr>
        <w:pStyle w:val="ListParagraph"/>
        <w:widowControl/>
        <w:numPr>
          <w:ilvl w:val="0"/>
          <w:numId w:val="45"/>
        </w:numPr>
        <w:tabs>
          <w:tab w:val="left" w:pos="2970"/>
        </w:tabs>
        <w:spacing w:before="120" w:after="120" w:line="360" w:lineRule="auto"/>
        <w:ind w:left="3150" w:hanging="540"/>
        <w:contextualSpacing w:val="0"/>
        <w:jc w:val="both"/>
        <w:rPr>
          <w:bCs/>
          <w:color w:val="000000" w:themeColor="text1"/>
          <w:sz w:val="24"/>
          <w:szCs w:val="24"/>
        </w:rPr>
      </w:pPr>
      <w:r>
        <w:rPr>
          <w:color w:val="000000" w:themeColor="text1"/>
          <w:sz w:val="24"/>
          <w:szCs w:val="24"/>
        </w:rPr>
        <w:tab/>
      </w:r>
      <w:r w:rsidRPr="00C02BBE">
        <w:rPr>
          <w:bCs/>
          <w:color w:val="000000" w:themeColor="text1"/>
          <w:sz w:val="24"/>
          <w:szCs w:val="24"/>
        </w:rPr>
        <w:t>Certain</w:t>
      </w:r>
    </w:p>
    <w:p w14:paraId="1631604B" w14:textId="77777777" w:rsidR="00B6790E" w:rsidRPr="00C02BBE" w:rsidRDefault="00B6790E" w:rsidP="00B551AA">
      <w:pPr>
        <w:pStyle w:val="ListParagraph"/>
        <w:widowControl/>
        <w:numPr>
          <w:ilvl w:val="0"/>
          <w:numId w:val="45"/>
        </w:numPr>
        <w:spacing w:before="120" w:after="120" w:line="360" w:lineRule="auto"/>
        <w:ind w:left="3150" w:hanging="540"/>
        <w:contextualSpacing w:val="0"/>
        <w:jc w:val="both"/>
        <w:rPr>
          <w:color w:val="000000" w:themeColor="text1"/>
          <w:sz w:val="24"/>
          <w:szCs w:val="24"/>
        </w:rPr>
      </w:pPr>
      <w:r w:rsidRPr="00C02BBE">
        <w:rPr>
          <w:color w:val="000000" w:themeColor="text1"/>
          <w:sz w:val="24"/>
          <w:szCs w:val="24"/>
        </w:rPr>
        <w:t>Probable/Likely</w:t>
      </w:r>
    </w:p>
    <w:p w14:paraId="7F47C82D" w14:textId="77777777" w:rsidR="00B6790E" w:rsidRPr="00C02BBE" w:rsidRDefault="00B6790E" w:rsidP="00B551AA">
      <w:pPr>
        <w:pStyle w:val="ListParagraph"/>
        <w:widowControl/>
        <w:numPr>
          <w:ilvl w:val="0"/>
          <w:numId w:val="45"/>
        </w:numPr>
        <w:spacing w:before="120" w:after="120" w:line="360" w:lineRule="auto"/>
        <w:ind w:left="3150" w:hanging="540"/>
        <w:contextualSpacing w:val="0"/>
        <w:jc w:val="both"/>
        <w:rPr>
          <w:color w:val="000000" w:themeColor="text1"/>
          <w:sz w:val="24"/>
          <w:szCs w:val="24"/>
        </w:rPr>
      </w:pPr>
      <w:r w:rsidRPr="00C02BBE">
        <w:rPr>
          <w:color w:val="000000" w:themeColor="text1"/>
          <w:sz w:val="24"/>
          <w:szCs w:val="24"/>
        </w:rPr>
        <w:t>Possible</w:t>
      </w:r>
    </w:p>
    <w:p w14:paraId="7FD7699E" w14:textId="77777777" w:rsidR="00B6790E" w:rsidRPr="00C02BBE" w:rsidRDefault="00B6790E" w:rsidP="00B551AA">
      <w:pPr>
        <w:pStyle w:val="ListParagraph"/>
        <w:widowControl/>
        <w:numPr>
          <w:ilvl w:val="0"/>
          <w:numId w:val="45"/>
        </w:numPr>
        <w:spacing w:before="120" w:after="120" w:line="360" w:lineRule="auto"/>
        <w:ind w:left="3150" w:hanging="540"/>
        <w:contextualSpacing w:val="0"/>
        <w:jc w:val="both"/>
        <w:rPr>
          <w:color w:val="000000" w:themeColor="text1"/>
          <w:sz w:val="24"/>
          <w:szCs w:val="24"/>
        </w:rPr>
      </w:pPr>
      <w:r w:rsidRPr="00C02BBE">
        <w:rPr>
          <w:color w:val="000000" w:themeColor="text1"/>
          <w:sz w:val="24"/>
          <w:szCs w:val="24"/>
        </w:rPr>
        <w:t>Unlikely</w:t>
      </w:r>
    </w:p>
    <w:p w14:paraId="05FBDB99" w14:textId="77777777" w:rsidR="00B6790E" w:rsidRPr="00C02BBE" w:rsidRDefault="00B6790E" w:rsidP="00B551AA">
      <w:pPr>
        <w:pStyle w:val="ListParagraph"/>
        <w:widowControl/>
        <w:numPr>
          <w:ilvl w:val="0"/>
          <w:numId w:val="45"/>
        </w:numPr>
        <w:spacing w:before="120" w:after="120" w:line="360" w:lineRule="auto"/>
        <w:ind w:left="3150" w:hanging="540"/>
        <w:contextualSpacing w:val="0"/>
        <w:jc w:val="both"/>
        <w:rPr>
          <w:bCs/>
          <w:color w:val="000000" w:themeColor="text1"/>
          <w:sz w:val="24"/>
          <w:szCs w:val="24"/>
        </w:rPr>
      </w:pPr>
      <w:r w:rsidRPr="00C02BBE">
        <w:rPr>
          <w:bCs/>
          <w:color w:val="000000" w:themeColor="text1"/>
          <w:sz w:val="24"/>
          <w:szCs w:val="24"/>
        </w:rPr>
        <w:t>Conditional/ Unclassified</w:t>
      </w:r>
    </w:p>
    <w:p w14:paraId="2A24202D" w14:textId="77777777" w:rsidR="00B6790E" w:rsidRPr="00C02BBE" w:rsidRDefault="00B6790E" w:rsidP="00B551AA">
      <w:pPr>
        <w:pStyle w:val="ListParagraph"/>
        <w:widowControl/>
        <w:numPr>
          <w:ilvl w:val="0"/>
          <w:numId w:val="45"/>
        </w:numPr>
        <w:spacing w:before="120" w:after="120" w:line="360" w:lineRule="auto"/>
        <w:ind w:left="3150" w:hanging="540"/>
        <w:contextualSpacing w:val="0"/>
        <w:jc w:val="both"/>
        <w:rPr>
          <w:color w:val="000000" w:themeColor="text1"/>
          <w:sz w:val="24"/>
          <w:szCs w:val="24"/>
        </w:rPr>
      </w:pPr>
      <w:proofErr w:type="spellStart"/>
      <w:r w:rsidRPr="00C02BBE">
        <w:rPr>
          <w:bCs/>
          <w:color w:val="000000" w:themeColor="text1"/>
          <w:sz w:val="24"/>
          <w:szCs w:val="24"/>
        </w:rPr>
        <w:t>Unassessable</w:t>
      </w:r>
      <w:proofErr w:type="spellEnd"/>
      <w:r w:rsidRPr="00C02BBE">
        <w:rPr>
          <w:bCs/>
          <w:color w:val="000000" w:themeColor="text1"/>
          <w:sz w:val="24"/>
          <w:szCs w:val="24"/>
        </w:rPr>
        <w:t>/ Unclassifiable</w:t>
      </w:r>
    </w:p>
    <w:p w14:paraId="60572477" w14:textId="69C06CA9" w:rsidR="00B6790E" w:rsidRDefault="00F54C7A" w:rsidP="00B6790E">
      <w:pPr>
        <w:jc w:val="both"/>
        <w:rPr>
          <w:color w:val="000000" w:themeColor="text1"/>
          <w:sz w:val="24"/>
          <w:szCs w:val="24"/>
        </w:rPr>
      </w:pPr>
      <w:r w:rsidRPr="00B96AC9">
        <w:rPr>
          <w:rFonts w:asciiTheme="majorHAnsi" w:hAnsiTheme="majorHAnsi" w:cstheme="majorBidi"/>
          <w:noProof/>
          <w:color w:val="000000"/>
          <w:lang w:val="en-US"/>
        </w:rPr>
        <w:lastRenderedPageBreak/>
        <w:drawing>
          <wp:inline distT="0" distB="0" distL="0" distR="0" wp14:anchorId="206C6B30" wp14:editId="7A58D84A">
            <wp:extent cx="5731510" cy="6341850"/>
            <wp:effectExtent l="0" t="0" r="2540" b="1905"/>
            <wp:docPr id="28" name="Picture 28" descr="C:\Users\LENOVO T440\Pictures\Screenshots\Screenshot (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T440\Pictures\Screenshots\Screenshot (18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6341850"/>
                    </a:xfrm>
                    <a:prstGeom prst="rect">
                      <a:avLst/>
                    </a:prstGeom>
                    <a:noFill/>
                    <a:ln>
                      <a:noFill/>
                    </a:ln>
                  </pic:spPr>
                </pic:pic>
              </a:graphicData>
            </a:graphic>
          </wp:inline>
        </w:drawing>
      </w:r>
    </w:p>
    <w:p w14:paraId="08EA0E5C" w14:textId="5440ADAB" w:rsidR="00BD617B" w:rsidRDefault="004C22CE" w:rsidP="00B400C6">
      <w:pPr>
        <w:ind w:left="540"/>
        <w:jc w:val="both"/>
        <w:rPr>
          <w:bCs/>
          <w:i/>
          <w:iCs/>
          <w:color w:val="000000" w:themeColor="text1"/>
          <w:sz w:val="24"/>
          <w:szCs w:val="24"/>
        </w:rPr>
      </w:pPr>
      <w:r w:rsidRPr="004C22CE">
        <w:rPr>
          <w:bCs/>
          <w:i/>
          <w:iCs/>
          <w:color w:val="000000" w:themeColor="text1"/>
          <w:sz w:val="24"/>
          <w:szCs w:val="24"/>
        </w:rPr>
        <w:t xml:space="preserve">6.4.1 </w:t>
      </w:r>
      <w:r w:rsidR="00BD617B" w:rsidRPr="004C22CE">
        <w:rPr>
          <w:bCs/>
          <w:i/>
          <w:iCs/>
          <w:color w:val="000000" w:themeColor="text1"/>
          <w:sz w:val="24"/>
          <w:szCs w:val="24"/>
        </w:rPr>
        <w:t>Certain.</w:t>
      </w:r>
    </w:p>
    <w:p w14:paraId="505366D1" w14:textId="77777777" w:rsidR="004C22CE" w:rsidRPr="004C22CE" w:rsidRDefault="004C22CE" w:rsidP="00B6790E">
      <w:pPr>
        <w:jc w:val="both"/>
        <w:rPr>
          <w:bCs/>
          <w:i/>
          <w:iCs/>
          <w:color w:val="000000" w:themeColor="text1"/>
          <w:sz w:val="24"/>
          <w:szCs w:val="24"/>
        </w:rPr>
      </w:pPr>
    </w:p>
    <w:p w14:paraId="16359D9E" w14:textId="77777777" w:rsidR="00BD617B" w:rsidRPr="00C02BBE" w:rsidRDefault="00BD617B" w:rsidP="00570C38">
      <w:pPr>
        <w:pStyle w:val="ListParagraph"/>
        <w:tabs>
          <w:tab w:val="left" w:pos="360"/>
        </w:tabs>
        <w:spacing w:after="120" w:line="360" w:lineRule="auto"/>
        <w:ind w:left="900"/>
        <w:contextualSpacing w:val="0"/>
        <w:jc w:val="both"/>
        <w:rPr>
          <w:color w:val="000000" w:themeColor="text1"/>
          <w:sz w:val="24"/>
          <w:szCs w:val="24"/>
        </w:rPr>
      </w:pPr>
      <w:r w:rsidRPr="00C02BBE">
        <w:rPr>
          <w:color w:val="000000" w:themeColor="text1"/>
          <w:sz w:val="24"/>
          <w:szCs w:val="24"/>
        </w:rPr>
        <w:t>The assessment criteria for certain categories are as under:</w:t>
      </w:r>
    </w:p>
    <w:p w14:paraId="21EC60BC" w14:textId="77777777" w:rsidR="00BD617B" w:rsidRPr="00C02BBE" w:rsidRDefault="00BD617B" w:rsidP="00B551AA">
      <w:pPr>
        <w:pStyle w:val="ListParagraph"/>
        <w:widowControl/>
        <w:numPr>
          <w:ilvl w:val="0"/>
          <w:numId w:val="46"/>
        </w:numPr>
        <w:spacing w:after="120" w:line="360" w:lineRule="auto"/>
        <w:ind w:left="1800" w:hanging="540"/>
        <w:contextualSpacing w:val="0"/>
        <w:jc w:val="both"/>
        <w:rPr>
          <w:color w:val="000000" w:themeColor="text1"/>
          <w:sz w:val="24"/>
          <w:szCs w:val="24"/>
        </w:rPr>
      </w:pPr>
      <w:r w:rsidRPr="00C02BBE">
        <w:rPr>
          <w:color w:val="000000" w:themeColor="text1"/>
          <w:sz w:val="24"/>
          <w:szCs w:val="24"/>
        </w:rPr>
        <w:t xml:space="preserve">Event or laboratory test abnormality, with </w:t>
      </w:r>
      <w:r w:rsidRPr="00C02BBE">
        <w:rPr>
          <w:i/>
          <w:color w:val="000000" w:themeColor="text1"/>
          <w:sz w:val="24"/>
          <w:szCs w:val="24"/>
        </w:rPr>
        <w:t>plausible time</w:t>
      </w:r>
      <w:r w:rsidRPr="00C02BBE">
        <w:rPr>
          <w:color w:val="000000" w:themeColor="text1"/>
          <w:sz w:val="24"/>
          <w:szCs w:val="24"/>
        </w:rPr>
        <w:t xml:space="preserve"> relationship to drug intake</w:t>
      </w:r>
    </w:p>
    <w:p w14:paraId="0447D7D4" w14:textId="77777777" w:rsidR="00BD617B" w:rsidRPr="00C02BBE" w:rsidRDefault="00BD617B" w:rsidP="00B551AA">
      <w:pPr>
        <w:pStyle w:val="ListParagraph"/>
        <w:widowControl/>
        <w:numPr>
          <w:ilvl w:val="0"/>
          <w:numId w:val="46"/>
        </w:numPr>
        <w:spacing w:after="120" w:line="360" w:lineRule="auto"/>
        <w:ind w:left="1800" w:hanging="540"/>
        <w:contextualSpacing w:val="0"/>
        <w:jc w:val="both"/>
        <w:rPr>
          <w:color w:val="000000" w:themeColor="text1"/>
          <w:sz w:val="24"/>
          <w:szCs w:val="24"/>
        </w:rPr>
      </w:pPr>
      <w:r w:rsidRPr="00C02BBE">
        <w:rPr>
          <w:color w:val="000000" w:themeColor="text1"/>
          <w:sz w:val="24"/>
          <w:szCs w:val="24"/>
        </w:rPr>
        <w:t>Cannot be explained by disease or other drugs</w:t>
      </w:r>
    </w:p>
    <w:p w14:paraId="532F9716" w14:textId="77777777" w:rsidR="00BD617B" w:rsidRPr="00C02BBE" w:rsidRDefault="00BD617B" w:rsidP="00B551AA">
      <w:pPr>
        <w:pStyle w:val="ListParagraph"/>
        <w:widowControl/>
        <w:numPr>
          <w:ilvl w:val="0"/>
          <w:numId w:val="46"/>
        </w:numPr>
        <w:spacing w:after="120" w:line="360" w:lineRule="auto"/>
        <w:ind w:left="1800" w:hanging="540"/>
        <w:contextualSpacing w:val="0"/>
        <w:jc w:val="both"/>
        <w:rPr>
          <w:color w:val="000000" w:themeColor="text1"/>
          <w:sz w:val="24"/>
          <w:szCs w:val="24"/>
        </w:rPr>
      </w:pPr>
      <w:r w:rsidRPr="00C02BBE">
        <w:rPr>
          <w:color w:val="000000" w:themeColor="text1"/>
          <w:sz w:val="24"/>
          <w:szCs w:val="24"/>
        </w:rPr>
        <w:t xml:space="preserve">Response to </w:t>
      </w:r>
      <w:r w:rsidRPr="00C02BBE">
        <w:rPr>
          <w:i/>
          <w:color w:val="000000" w:themeColor="text1"/>
          <w:sz w:val="24"/>
          <w:szCs w:val="24"/>
        </w:rPr>
        <w:t>withdrawal plausible</w:t>
      </w:r>
      <w:r w:rsidRPr="00C02BBE">
        <w:rPr>
          <w:color w:val="000000" w:themeColor="text1"/>
          <w:sz w:val="24"/>
          <w:szCs w:val="24"/>
        </w:rPr>
        <w:t xml:space="preserve"> (pharmacologically, pathologically) </w:t>
      </w:r>
    </w:p>
    <w:p w14:paraId="63C4143C" w14:textId="63F68076" w:rsidR="00BD617B" w:rsidRPr="00C02BBE" w:rsidRDefault="00BD617B" w:rsidP="00B551AA">
      <w:pPr>
        <w:pStyle w:val="ListParagraph"/>
        <w:widowControl/>
        <w:numPr>
          <w:ilvl w:val="0"/>
          <w:numId w:val="46"/>
        </w:numPr>
        <w:tabs>
          <w:tab w:val="left" w:pos="720"/>
        </w:tabs>
        <w:spacing w:after="120" w:line="360" w:lineRule="auto"/>
        <w:ind w:left="1800" w:hanging="540"/>
        <w:contextualSpacing w:val="0"/>
        <w:jc w:val="both"/>
        <w:rPr>
          <w:color w:val="000000" w:themeColor="text1"/>
          <w:sz w:val="24"/>
          <w:szCs w:val="24"/>
        </w:rPr>
      </w:pPr>
      <w:r w:rsidRPr="00C02BBE">
        <w:rPr>
          <w:color w:val="000000" w:themeColor="text1"/>
          <w:sz w:val="24"/>
          <w:szCs w:val="24"/>
        </w:rPr>
        <w:lastRenderedPageBreak/>
        <w:t xml:space="preserve">Event </w:t>
      </w:r>
      <w:r w:rsidRPr="00C02BBE">
        <w:rPr>
          <w:i/>
          <w:color w:val="000000" w:themeColor="text1"/>
          <w:sz w:val="24"/>
          <w:szCs w:val="24"/>
        </w:rPr>
        <w:t>definitive pharmacologically or phenomenological (i.e. an objective and specific</w:t>
      </w:r>
      <w:r w:rsidR="004C22CE">
        <w:rPr>
          <w:i/>
          <w:color w:val="000000" w:themeColor="text1"/>
          <w:sz w:val="24"/>
          <w:szCs w:val="24"/>
        </w:rPr>
        <w:t xml:space="preserve"> </w:t>
      </w:r>
      <w:r w:rsidRPr="00C02BBE">
        <w:rPr>
          <w:i/>
          <w:color w:val="000000" w:themeColor="text1"/>
          <w:sz w:val="24"/>
          <w:szCs w:val="24"/>
        </w:rPr>
        <w:t>medical disorder or a recognized pharmacological phenomenon</w:t>
      </w:r>
      <w:r w:rsidRPr="00C02BBE">
        <w:rPr>
          <w:color w:val="000000" w:themeColor="text1"/>
          <w:sz w:val="24"/>
          <w:szCs w:val="24"/>
        </w:rPr>
        <w:t>)</w:t>
      </w:r>
    </w:p>
    <w:p w14:paraId="401E60C9" w14:textId="088D3376" w:rsidR="004C22CE" w:rsidRPr="00A353ED" w:rsidRDefault="00BD617B" w:rsidP="00B551AA">
      <w:pPr>
        <w:pStyle w:val="ListParagraph"/>
        <w:widowControl/>
        <w:numPr>
          <w:ilvl w:val="0"/>
          <w:numId w:val="46"/>
        </w:numPr>
        <w:spacing w:after="120" w:line="360" w:lineRule="auto"/>
        <w:ind w:left="1800" w:hanging="540"/>
        <w:contextualSpacing w:val="0"/>
        <w:jc w:val="both"/>
        <w:rPr>
          <w:color w:val="000000" w:themeColor="text1"/>
          <w:sz w:val="24"/>
          <w:szCs w:val="24"/>
        </w:rPr>
      </w:pPr>
      <w:r w:rsidRPr="00C02BBE">
        <w:rPr>
          <w:color w:val="000000" w:themeColor="text1"/>
          <w:sz w:val="24"/>
          <w:szCs w:val="24"/>
        </w:rPr>
        <w:t>Re</w:t>
      </w:r>
      <w:r>
        <w:rPr>
          <w:color w:val="000000" w:themeColor="text1"/>
          <w:sz w:val="24"/>
          <w:szCs w:val="24"/>
        </w:rPr>
        <w:t>-</w:t>
      </w:r>
      <w:r w:rsidRPr="00C02BBE">
        <w:rPr>
          <w:color w:val="000000" w:themeColor="text1"/>
          <w:sz w:val="24"/>
          <w:szCs w:val="24"/>
        </w:rPr>
        <w:t>challenge satisfactory, if necessary</w:t>
      </w:r>
    </w:p>
    <w:p w14:paraId="6B6BCC46" w14:textId="77777777" w:rsidR="00BD617B" w:rsidRPr="004C22CE" w:rsidRDefault="00BD617B" w:rsidP="00BD617B">
      <w:pPr>
        <w:jc w:val="both"/>
        <w:rPr>
          <w:b/>
          <w:i/>
          <w:color w:val="000000" w:themeColor="text1"/>
          <w:sz w:val="24"/>
          <w:szCs w:val="24"/>
        </w:rPr>
      </w:pPr>
      <w:r w:rsidRPr="004C22CE">
        <w:rPr>
          <w:b/>
          <w:i/>
          <w:color w:val="000000" w:themeColor="text1"/>
          <w:sz w:val="24"/>
          <w:szCs w:val="24"/>
        </w:rPr>
        <w:t>Further Explanation of the terms of “Certain” Category.</w:t>
      </w:r>
    </w:p>
    <w:p w14:paraId="2188942A" w14:textId="12728B33" w:rsidR="00BD617B" w:rsidRPr="00C02BBE" w:rsidRDefault="00BD617B" w:rsidP="00B551AA">
      <w:pPr>
        <w:pStyle w:val="ListParagraph"/>
        <w:widowControl/>
        <w:numPr>
          <w:ilvl w:val="0"/>
          <w:numId w:val="52"/>
        </w:numPr>
        <w:shd w:val="clear" w:color="auto" w:fill="FFFFFF"/>
        <w:tabs>
          <w:tab w:val="left" w:pos="990"/>
        </w:tabs>
        <w:spacing w:after="120" w:line="360" w:lineRule="auto"/>
        <w:ind w:left="900"/>
        <w:contextualSpacing w:val="0"/>
        <w:jc w:val="both"/>
        <w:textAlignment w:val="baseline"/>
        <w:rPr>
          <w:sz w:val="24"/>
          <w:szCs w:val="24"/>
          <w:lang w:eastAsia="en-GB"/>
        </w:rPr>
      </w:pPr>
      <w:r w:rsidRPr="00C02BBE">
        <w:rPr>
          <w:i/>
          <w:sz w:val="24"/>
          <w:szCs w:val="24"/>
          <w:u w:val="single"/>
          <w:lang w:eastAsia="en-GB"/>
        </w:rPr>
        <w:t>Plausible time relationship:</w:t>
      </w:r>
      <w:r w:rsidRPr="00C02BBE">
        <w:rPr>
          <w:sz w:val="24"/>
          <w:szCs w:val="24"/>
          <w:lang w:eastAsia="en-GB"/>
        </w:rPr>
        <w:t xml:space="preserve"> The "certain" classification requires the </w:t>
      </w:r>
      <w:r w:rsidRPr="00C02BBE">
        <w:rPr>
          <w:i/>
          <w:sz w:val="24"/>
          <w:szCs w:val="24"/>
          <w:lang w:eastAsia="en-GB"/>
        </w:rPr>
        <w:t xml:space="preserve">timing of </w:t>
      </w:r>
      <w:r w:rsidR="004C22CE">
        <w:rPr>
          <w:i/>
          <w:sz w:val="24"/>
          <w:szCs w:val="24"/>
          <w:lang w:eastAsia="en-GB"/>
        </w:rPr>
        <w:t xml:space="preserve">the </w:t>
      </w:r>
      <w:r w:rsidRPr="00C02BBE">
        <w:rPr>
          <w:i/>
          <w:sz w:val="24"/>
          <w:szCs w:val="24"/>
          <w:lang w:eastAsia="en-GB"/>
        </w:rPr>
        <w:t>event to be "plausible</w:t>
      </w:r>
      <w:r w:rsidRPr="00C02BBE">
        <w:rPr>
          <w:sz w:val="24"/>
          <w:szCs w:val="24"/>
          <w:lang w:eastAsia="en-GB"/>
        </w:rPr>
        <w:t>." "Plausible" is a stronger word than reasonable used in the "probable"</w:t>
      </w:r>
      <w:r w:rsidRPr="00C02BBE">
        <w:rPr>
          <w:b/>
          <w:bCs/>
          <w:sz w:val="24"/>
          <w:szCs w:val="24"/>
          <w:bdr w:val="none" w:sz="0" w:space="0" w:color="auto" w:frame="1"/>
          <w:lang w:eastAsia="en-GB"/>
        </w:rPr>
        <w:t> </w:t>
      </w:r>
      <w:r w:rsidRPr="00C02BBE">
        <w:rPr>
          <w:sz w:val="24"/>
          <w:szCs w:val="24"/>
          <w:lang w:eastAsia="en-GB"/>
        </w:rPr>
        <w:t>category. It means believable and for that</w:t>
      </w:r>
      <w:r w:rsidR="004C22CE">
        <w:rPr>
          <w:sz w:val="24"/>
          <w:szCs w:val="24"/>
          <w:lang w:eastAsia="en-GB"/>
        </w:rPr>
        <w:t>,</w:t>
      </w:r>
      <w:r w:rsidRPr="00C02BBE">
        <w:rPr>
          <w:sz w:val="24"/>
          <w:szCs w:val="24"/>
          <w:lang w:eastAsia="en-GB"/>
        </w:rPr>
        <w:t xml:space="preserve"> we need more information than reasonable. The time to onset should fit in with the known pharmacokinetics of the drug, for example</w:t>
      </w:r>
      <w:r w:rsidR="004C22CE">
        <w:rPr>
          <w:sz w:val="24"/>
          <w:szCs w:val="24"/>
          <w:lang w:eastAsia="en-GB"/>
        </w:rPr>
        <w:t>,</w:t>
      </w:r>
      <w:r w:rsidRPr="00C02BBE">
        <w:rPr>
          <w:sz w:val="24"/>
          <w:szCs w:val="24"/>
          <w:lang w:eastAsia="en-GB"/>
        </w:rPr>
        <w:t xml:space="preserve"> its half-life, or for a Type B reaction, the time to mount an observed immune response would be an example.</w:t>
      </w:r>
    </w:p>
    <w:p w14:paraId="0FA8D71E" w14:textId="0907CB02" w:rsidR="00BD617B" w:rsidRPr="00C02BBE" w:rsidRDefault="00BD617B" w:rsidP="00B551AA">
      <w:pPr>
        <w:pStyle w:val="ListParagraph"/>
        <w:widowControl/>
        <w:numPr>
          <w:ilvl w:val="0"/>
          <w:numId w:val="52"/>
        </w:numPr>
        <w:shd w:val="clear" w:color="auto" w:fill="FFFFFF"/>
        <w:tabs>
          <w:tab w:val="left" w:pos="990"/>
        </w:tabs>
        <w:spacing w:after="120" w:line="360" w:lineRule="auto"/>
        <w:ind w:left="900"/>
        <w:contextualSpacing w:val="0"/>
        <w:jc w:val="both"/>
        <w:textAlignment w:val="baseline"/>
        <w:rPr>
          <w:i/>
          <w:sz w:val="24"/>
          <w:szCs w:val="24"/>
          <w:lang w:eastAsia="en-GB"/>
        </w:rPr>
      </w:pPr>
      <w:r w:rsidRPr="00C02BBE">
        <w:rPr>
          <w:i/>
          <w:sz w:val="24"/>
          <w:szCs w:val="24"/>
          <w:u w:val="single"/>
          <w:lang w:eastAsia="en-GB"/>
        </w:rPr>
        <w:t>Plausible Response to Withdrawal:</w:t>
      </w:r>
      <w:r w:rsidRPr="00C02BBE">
        <w:rPr>
          <w:sz w:val="24"/>
          <w:szCs w:val="24"/>
          <w:lang w:eastAsia="en-GB"/>
        </w:rPr>
        <w:t xml:space="preserve"> A "plausible" response to withdrawal would be, for example, a rapid resolution of Type 1 allergic reaction such as urticaria and a longer time for hepatitis.</w:t>
      </w:r>
    </w:p>
    <w:p w14:paraId="5B5154CA" w14:textId="4E160822" w:rsidR="00BD617B" w:rsidRPr="00C02BBE" w:rsidRDefault="00BD617B" w:rsidP="00B551AA">
      <w:pPr>
        <w:pStyle w:val="ListParagraph"/>
        <w:widowControl/>
        <w:numPr>
          <w:ilvl w:val="0"/>
          <w:numId w:val="52"/>
        </w:numPr>
        <w:shd w:val="clear" w:color="auto" w:fill="FFFFFF"/>
        <w:tabs>
          <w:tab w:val="left" w:pos="990"/>
        </w:tabs>
        <w:spacing w:after="120" w:line="360" w:lineRule="auto"/>
        <w:ind w:left="900"/>
        <w:contextualSpacing w:val="0"/>
        <w:jc w:val="both"/>
        <w:textAlignment w:val="baseline"/>
        <w:rPr>
          <w:i/>
          <w:sz w:val="24"/>
          <w:szCs w:val="24"/>
          <w:lang w:eastAsia="en-GB"/>
        </w:rPr>
      </w:pPr>
      <w:r w:rsidRPr="00C02BBE">
        <w:rPr>
          <w:bCs/>
          <w:i/>
          <w:sz w:val="24"/>
          <w:szCs w:val="24"/>
          <w:u w:val="single"/>
          <w:bdr w:val="none" w:sz="0" w:space="0" w:color="auto" w:frame="1"/>
          <w:lang w:eastAsia="en-GB"/>
        </w:rPr>
        <w:t>Recognized Pharmacological Phenomenon:</w:t>
      </w:r>
      <w:r w:rsidRPr="00C02BBE">
        <w:rPr>
          <w:sz w:val="24"/>
          <w:szCs w:val="24"/>
          <w:bdr w:val="none" w:sz="0" w:space="0" w:color="auto" w:frame="1"/>
          <w:lang w:eastAsia="en-GB"/>
        </w:rPr>
        <w:t xml:space="preserve"> A pharmacological phenomenon might be decreased prothrombin with warfarin leading to haemorrhage due to its effect on vitamin K activity; respiratory depression with morphine or serotonin syndrome manifested as symptoms such as agitation, increase sweating and myoclonus due to drugs that inhibit serotonin reuptake by its receptors. With a new drug</w:t>
      </w:r>
      <w:r w:rsidR="004C22CE">
        <w:rPr>
          <w:sz w:val="24"/>
          <w:szCs w:val="24"/>
          <w:bdr w:val="none" w:sz="0" w:space="0" w:color="auto" w:frame="1"/>
          <w:lang w:eastAsia="en-GB"/>
        </w:rPr>
        <w:t>,</w:t>
      </w:r>
      <w:r w:rsidRPr="00C02BBE">
        <w:rPr>
          <w:sz w:val="24"/>
          <w:szCs w:val="24"/>
          <w:bdr w:val="none" w:sz="0" w:space="0" w:color="auto" w:frame="1"/>
          <w:lang w:eastAsia="en-GB"/>
        </w:rPr>
        <w:t xml:space="preserve"> we may not be aware of all its pharmacological actions. Therefore, an unexpected reaction will rarely be classified as "certain".</w:t>
      </w:r>
      <w:r w:rsidRPr="00C02BBE">
        <w:rPr>
          <w:sz w:val="24"/>
          <w:szCs w:val="24"/>
          <w:lang w:eastAsia="en-GB"/>
        </w:rPr>
        <w:t> </w:t>
      </w:r>
    </w:p>
    <w:p w14:paraId="5A2EC0BE" w14:textId="77777777" w:rsidR="00BD617B" w:rsidRPr="00C02BBE" w:rsidRDefault="00BD617B" w:rsidP="00B551AA">
      <w:pPr>
        <w:pStyle w:val="ListParagraph"/>
        <w:widowControl/>
        <w:numPr>
          <w:ilvl w:val="0"/>
          <w:numId w:val="52"/>
        </w:numPr>
        <w:shd w:val="clear" w:color="auto" w:fill="FFFFFF"/>
        <w:tabs>
          <w:tab w:val="left" w:pos="990"/>
        </w:tabs>
        <w:spacing w:after="120" w:line="360" w:lineRule="auto"/>
        <w:ind w:left="900"/>
        <w:contextualSpacing w:val="0"/>
        <w:jc w:val="both"/>
        <w:textAlignment w:val="baseline"/>
        <w:rPr>
          <w:i/>
          <w:sz w:val="24"/>
          <w:szCs w:val="24"/>
          <w:lang w:eastAsia="en-GB"/>
        </w:rPr>
      </w:pPr>
      <w:r w:rsidRPr="00C02BBE">
        <w:rPr>
          <w:bCs/>
          <w:sz w:val="24"/>
          <w:szCs w:val="24"/>
          <w:u w:val="single"/>
          <w:bdr w:val="none" w:sz="0" w:space="0" w:color="auto" w:frame="1"/>
          <w:lang w:eastAsia="en-GB"/>
        </w:rPr>
        <w:t>Specific, Observable, Medical Disorder:</w:t>
      </w:r>
      <w:r w:rsidRPr="00C02BBE">
        <w:rPr>
          <w:sz w:val="24"/>
          <w:szCs w:val="24"/>
          <w:lang w:eastAsia="en-GB"/>
        </w:rPr>
        <w:t xml:space="preserve"> This is an important difference compared with the "probable"</w:t>
      </w:r>
      <w:r w:rsidRPr="00C02BBE">
        <w:rPr>
          <w:bCs/>
          <w:sz w:val="24"/>
          <w:szCs w:val="24"/>
          <w:bdr w:val="none" w:sz="0" w:space="0" w:color="auto" w:frame="1"/>
          <w:lang w:eastAsia="en-GB"/>
        </w:rPr>
        <w:t> </w:t>
      </w:r>
      <w:r w:rsidRPr="00C02BBE">
        <w:rPr>
          <w:sz w:val="24"/>
          <w:szCs w:val="24"/>
          <w:lang w:eastAsia="en-GB"/>
        </w:rPr>
        <w:t>category. To classify a suspected reaction as "certain" it needs to be something you can observe or measure. If you have definite evidence of, for example, hepatitis or tendonitis then that's an observable clinical condition. </w:t>
      </w:r>
      <w:r w:rsidRPr="00C02BBE">
        <w:rPr>
          <w:sz w:val="24"/>
          <w:szCs w:val="24"/>
          <w:bdr w:val="none" w:sz="0" w:space="0" w:color="auto" w:frame="1"/>
          <w:lang w:eastAsia="en-GB"/>
        </w:rPr>
        <w:t>It’s pathological. In contrast, for </w:t>
      </w:r>
      <w:r w:rsidRPr="00C02BBE">
        <w:rPr>
          <w:sz w:val="24"/>
          <w:szCs w:val="24"/>
          <w:lang w:eastAsia="en-GB"/>
        </w:rPr>
        <w:t xml:space="preserve">a </w:t>
      </w:r>
      <w:proofErr w:type="gramStart"/>
      <w:r w:rsidRPr="00C02BBE">
        <w:rPr>
          <w:sz w:val="24"/>
          <w:szCs w:val="24"/>
          <w:lang w:eastAsia="en-GB"/>
        </w:rPr>
        <w:t>"probable"</w:t>
      </w:r>
      <w:r w:rsidRPr="00C02BBE">
        <w:rPr>
          <w:bCs/>
          <w:sz w:val="24"/>
          <w:szCs w:val="24"/>
          <w:bdr w:val="none" w:sz="0" w:space="0" w:color="auto" w:frame="1"/>
          <w:lang w:eastAsia="en-GB"/>
        </w:rPr>
        <w:t> </w:t>
      </w:r>
      <w:r w:rsidRPr="00C02BBE">
        <w:rPr>
          <w:sz w:val="24"/>
          <w:szCs w:val="24"/>
          <w:lang w:eastAsia="en-GB"/>
        </w:rPr>
        <w:t>reaction symptoms</w:t>
      </w:r>
      <w:proofErr w:type="gramEnd"/>
      <w:r w:rsidRPr="00C02BBE">
        <w:rPr>
          <w:sz w:val="24"/>
          <w:szCs w:val="24"/>
          <w:bdr w:val="none" w:sz="0" w:space="0" w:color="auto" w:frame="1"/>
          <w:lang w:eastAsia="en-GB"/>
        </w:rPr>
        <w:t> that are not observable, such as </w:t>
      </w:r>
      <w:r w:rsidRPr="00C02BBE">
        <w:rPr>
          <w:sz w:val="24"/>
          <w:szCs w:val="24"/>
          <w:lang w:eastAsia="en-GB"/>
        </w:rPr>
        <w:t>headache</w:t>
      </w:r>
      <w:r w:rsidRPr="00C02BBE">
        <w:rPr>
          <w:sz w:val="24"/>
          <w:szCs w:val="24"/>
          <w:bdr w:val="none" w:sz="0" w:space="0" w:color="auto" w:frame="1"/>
          <w:lang w:eastAsia="en-GB"/>
        </w:rPr>
        <w:t> or abdominal pain, can be included.</w:t>
      </w:r>
    </w:p>
    <w:p w14:paraId="4EA5206D" w14:textId="6C465094" w:rsidR="00BD617B" w:rsidRPr="00C02BBE" w:rsidRDefault="00BD617B" w:rsidP="00B551AA">
      <w:pPr>
        <w:pStyle w:val="ListParagraph"/>
        <w:widowControl/>
        <w:numPr>
          <w:ilvl w:val="0"/>
          <w:numId w:val="52"/>
        </w:numPr>
        <w:shd w:val="clear" w:color="auto" w:fill="FFFFFF"/>
        <w:tabs>
          <w:tab w:val="left" w:pos="990"/>
        </w:tabs>
        <w:spacing w:after="120" w:line="360" w:lineRule="auto"/>
        <w:ind w:left="900"/>
        <w:contextualSpacing w:val="0"/>
        <w:jc w:val="both"/>
        <w:textAlignment w:val="baseline"/>
        <w:rPr>
          <w:i/>
          <w:sz w:val="24"/>
          <w:szCs w:val="24"/>
          <w:lang w:eastAsia="en-GB"/>
        </w:rPr>
      </w:pPr>
      <w:proofErr w:type="spellStart"/>
      <w:r w:rsidRPr="00C02BBE">
        <w:rPr>
          <w:i/>
          <w:sz w:val="24"/>
          <w:szCs w:val="24"/>
          <w:u w:val="single"/>
          <w:lang w:eastAsia="en-GB"/>
        </w:rPr>
        <w:t>Rechallenge</w:t>
      </w:r>
      <w:proofErr w:type="spellEnd"/>
      <w:r w:rsidRPr="00C02BBE">
        <w:rPr>
          <w:i/>
          <w:sz w:val="24"/>
          <w:szCs w:val="24"/>
          <w:u w:val="single"/>
          <w:lang w:eastAsia="en-GB"/>
        </w:rPr>
        <w:t xml:space="preserve"> Satisfactory:</w:t>
      </w:r>
      <w:r w:rsidRPr="00C02BBE">
        <w:rPr>
          <w:sz w:val="24"/>
          <w:szCs w:val="24"/>
          <w:lang w:eastAsia="en-GB"/>
        </w:rPr>
        <w:t xml:space="preserve">  a final criterion in the “certain” category is </w:t>
      </w:r>
      <w:proofErr w:type="spellStart"/>
      <w:r w:rsidRPr="00C02BBE">
        <w:rPr>
          <w:sz w:val="24"/>
          <w:szCs w:val="24"/>
          <w:lang w:eastAsia="en-GB"/>
        </w:rPr>
        <w:t>rechallenge</w:t>
      </w:r>
      <w:proofErr w:type="spellEnd"/>
      <w:r w:rsidRPr="00C02BBE">
        <w:rPr>
          <w:sz w:val="24"/>
          <w:szCs w:val="24"/>
          <w:lang w:eastAsia="en-GB"/>
        </w:rPr>
        <w:t xml:space="preserve"> and it is rarely used since a </w:t>
      </w:r>
      <w:proofErr w:type="spellStart"/>
      <w:r w:rsidRPr="00C02BBE">
        <w:rPr>
          <w:sz w:val="24"/>
          <w:szCs w:val="24"/>
          <w:lang w:eastAsia="en-GB"/>
        </w:rPr>
        <w:t>rechallenge</w:t>
      </w:r>
      <w:proofErr w:type="spellEnd"/>
      <w:r w:rsidRPr="00C02BBE">
        <w:rPr>
          <w:sz w:val="24"/>
          <w:szCs w:val="24"/>
          <w:lang w:eastAsia="en-GB"/>
        </w:rPr>
        <w:t xml:space="preserve"> is almost always required and this is often unethical. There are strict criteria for a drug administration to be called a </w:t>
      </w:r>
      <w:proofErr w:type="spellStart"/>
      <w:r w:rsidRPr="00C02BBE">
        <w:rPr>
          <w:sz w:val="24"/>
          <w:szCs w:val="24"/>
          <w:lang w:eastAsia="en-GB"/>
        </w:rPr>
        <w:t>rechallenge</w:t>
      </w:r>
      <w:proofErr w:type="spellEnd"/>
      <w:r w:rsidRPr="00C02BBE">
        <w:rPr>
          <w:sz w:val="24"/>
          <w:szCs w:val="24"/>
          <w:lang w:eastAsia="en-GB"/>
        </w:rPr>
        <w:t xml:space="preserve">. If </w:t>
      </w:r>
      <w:r w:rsidR="004C22CE">
        <w:rPr>
          <w:sz w:val="24"/>
          <w:szCs w:val="24"/>
          <w:lang w:eastAsia="en-GB"/>
        </w:rPr>
        <w:t xml:space="preserve">a </w:t>
      </w:r>
      <w:proofErr w:type="spellStart"/>
      <w:r w:rsidRPr="00C02BBE">
        <w:rPr>
          <w:sz w:val="24"/>
          <w:szCs w:val="24"/>
          <w:lang w:eastAsia="en-GB"/>
        </w:rPr>
        <w:t>rechallenge</w:t>
      </w:r>
      <w:proofErr w:type="spellEnd"/>
      <w:r w:rsidRPr="00C02BBE">
        <w:rPr>
          <w:sz w:val="24"/>
          <w:szCs w:val="24"/>
          <w:lang w:eastAsia="en-GB"/>
        </w:rPr>
        <w:t xml:space="preserve"> is carried out, the patient should have first recovered from the clinical event </w:t>
      </w:r>
      <w:r w:rsidR="004C22CE">
        <w:rPr>
          <w:sz w:val="24"/>
          <w:szCs w:val="24"/>
          <w:lang w:eastAsia="en-GB"/>
        </w:rPr>
        <w:t>by</w:t>
      </w:r>
      <w:r w:rsidRPr="00C02BBE">
        <w:rPr>
          <w:sz w:val="24"/>
          <w:szCs w:val="24"/>
          <w:lang w:eastAsia="en-GB"/>
        </w:rPr>
        <w:t xml:space="preserve"> stopping the suspect drug after the first occurrence. The </w:t>
      </w:r>
      <w:proofErr w:type="spellStart"/>
      <w:r w:rsidRPr="00C02BBE">
        <w:rPr>
          <w:sz w:val="24"/>
          <w:szCs w:val="24"/>
          <w:lang w:eastAsia="en-GB"/>
        </w:rPr>
        <w:t>rechallenge</w:t>
      </w:r>
      <w:proofErr w:type="spellEnd"/>
      <w:r w:rsidRPr="00C02BBE">
        <w:rPr>
          <w:sz w:val="24"/>
          <w:szCs w:val="24"/>
          <w:lang w:eastAsia="en-GB"/>
        </w:rPr>
        <w:t xml:space="preserve"> should be with </w:t>
      </w:r>
      <w:r w:rsidRPr="00C02BBE">
        <w:rPr>
          <w:sz w:val="24"/>
          <w:szCs w:val="24"/>
          <w:lang w:eastAsia="en-GB"/>
        </w:rPr>
        <w:lastRenderedPageBreak/>
        <w:t xml:space="preserve">the same drug, at the same dose, and by the same route. Skin prick testing for allergy is an accepted form of confirmation although there are false positives. </w:t>
      </w:r>
      <w:proofErr w:type="spellStart"/>
      <w:r w:rsidRPr="00C02BBE">
        <w:rPr>
          <w:sz w:val="24"/>
          <w:szCs w:val="24"/>
          <w:lang w:eastAsia="en-GB"/>
        </w:rPr>
        <w:t>Rechallenge</w:t>
      </w:r>
      <w:proofErr w:type="spellEnd"/>
      <w:r w:rsidRPr="00C02BBE">
        <w:rPr>
          <w:sz w:val="24"/>
          <w:szCs w:val="24"/>
          <w:lang w:eastAsia="en-GB"/>
        </w:rPr>
        <w:t xml:space="preserve"> may not be needed for a "certain"</w:t>
      </w:r>
      <w:r w:rsidRPr="00C02BBE">
        <w:rPr>
          <w:b/>
          <w:bCs/>
          <w:sz w:val="24"/>
          <w:szCs w:val="24"/>
          <w:bdr w:val="none" w:sz="0" w:space="0" w:color="auto" w:frame="1"/>
          <w:lang w:eastAsia="en-GB"/>
        </w:rPr>
        <w:t> </w:t>
      </w:r>
      <w:r w:rsidRPr="00C02BBE">
        <w:rPr>
          <w:sz w:val="24"/>
          <w:szCs w:val="24"/>
          <w:lang w:eastAsia="en-GB"/>
        </w:rPr>
        <w:t xml:space="preserve">classification in a small number of situations such as when cytotoxic drug extravasates and causes tissue damage. </w:t>
      </w:r>
      <w:proofErr w:type="spellStart"/>
      <w:r w:rsidRPr="00C02BBE">
        <w:rPr>
          <w:sz w:val="24"/>
          <w:szCs w:val="24"/>
          <w:lang w:eastAsia="en-GB"/>
        </w:rPr>
        <w:t>Rechallenge</w:t>
      </w:r>
      <w:proofErr w:type="spellEnd"/>
      <w:r w:rsidRPr="00C02BBE">
        <w:rPr>
          <w:sz w:val="24"/>
          <w:szCs w:val="24"/>
          <w:lang w:eastAsia="en-GB"/>
        </w:rPr>
        <w:t xml:space="preserve"> may well be dangerous and the majority of reports that have </w:t>
      </w:r>
      <w:proofErr w:type="spellStart"/>
      <w:r w:rsidRPr="00C02BBE">
        <w:rPr>
          <w:sz w:val="24"/>
          <w:szCs w:val="24"/>
          <w:lang w:eastAsia="en-GB"/>
        </w:rPr>
        <w:t>rechallenge</w:t>
      </w:r>
      <w:proofErr w:type="spellEnd"/>
      <w:r w:rsidRPr="00C02BBE">
        <w:rPr>
          <w:sz w:val="24"/>
          <w:szCs w:val="24"/>
          <w:lang w:eastAsia="en-GB"/>
        </w:rPr>
        <w:t xml:space="preserve"> data arise from </w:t>
      </w:r>
      <w:r w:rsidR="004C22CE">
        <w:rPr>
          <w:sz w:val="24"/>
          <w:szCs w:val="24"/>
          <w:lang w:eastAsia="en-GB"/>
        </w:rPr>
        <w:t xml:space="preserve">a </w:t>
      </w:r>
      <w:r w:rsidRPr="00C02BBE">
        <w:rPr>
          <w:sz w:val="24"/>
          <w:szCs w:val="24"/>
          <w:lang w:eastAsia="en-GB"/>
        </w:rPr>
        <w:t>lack of recognition that an illness following the exposure to the drug previously was an adverse reaction until it happened again or a lack of a proper record of the previous reaction.</w:t>
      </w:r>
    </w:p>
    <w:p w14:paraId="2FD9C28D" w14:textId="77777777" w:rsidR="00BD617B" w:rsidRPr="00C02BBE" w:rsidRDefault="00BD617B" w:rsidP="00BD617B">
      <w:pPr>
        <w:shd w:val="clear" w:color="auto" w:fill="FFFFFF"/>
        <w:tabs>
          <w:tab w:val="left" w:pos="540"/>
        </w:tabs>
        <w:spacing w:line="360" w:lineRule="auto"/>
        <w:jc w:val="both"/>
        <w:textAlignment w:val="baseline"/>
        <w:rPr>
          <w:sz w:val="24"/>
          <w:szCs w:val="24"/>
          <w:lang w:eastAsia="en-GB"/>
        </w:rPr>
      </w:pPr>
    </w:p>
    <w:p w14:paraId="5009639A" w14:textId="4099D65F" w:rsidR="00BD617B" w:rsidRPr="004C22CE" w:rsidRDefault="004C22CE" w:rsidP="004C22CE">
      <w:pPr>
        <w:pStyle w:val="ListParagraph"/>
        <w:widowControl/>
        <w:tabs>
          <w:tab w:val="left" w:pos="360"/>
        </w:tabs>
        <w:spacing w:after="120" w:line="360" w:lineRule="auto"/>
        <w:ind w:left="0"/>
        <w:contextualSpacing w:val="0"/>
        <w:jc w:val="both"/>
        <w:rPr>
          <w:bCs/>
          <w:i/>
          <w:iCs/>
          <w:color w:val="000000" w:themeColor="text1"/>
          <w:sz w:val="24"/>
          <w:szCs w:val="24"/>
        </w:rPr>
      </w:pPr>
      <w:r w:rsidRPr="004C22CE">
        <w:rPr>
          <w:bCs/>
          <w:i/>
          <w:iCs/>
          <w:color w:val="000000" w:themeColor="text1"/>
          <w:sz w:val="24"/>
          <w:szCs w:val="24"/>
        </w:rPr>
        <w:t xml:space="preserve">6.4.2 </w:t>
      </w:r>
      <w:r w:rsidR="00BD617B" w:rsidRPr="004C22CE">
        <w:rPr>
          <w:bCs/>
          <w:i/>
          <w:iCs/>
          <w:color w:val="000000" w:themeColor="text1"/>
          <w:sz w:val="24"/>
          <w:szCs w:val="24"/>
        </w:rPr>
        <w:t>Probable/Likely.</w:t>
      </w:r>
    </w:p>
    <w:p w14:paraId="133EF69F" w14:textId="248D8714" w:rsidR="00BD617B" w:rsidRPr="00C02BBE" w:rsidRDefault="00BD617B" w:rsidP="0090083B">
      <w:pPr>
        <w:tabs>
          <w:tab w:val="left" w:pos="360"/>
        </w:tabs>
        <w:spacing w:after="120" w:line="360" w:lineRule="auto"/>
        <w:ind w:left="540"/>
        <w:jc w:val="both"/>
        <w:rPr>
          <w:color w:val="000000" w:themeColor="text1"/>
          <w:sz w:val="24"/>
          <w:szCs w:val="24"/>
        </w:rPr>
      </w:pPr>
      <w:r w:rsidRPr="00C02BBE">
        <w:rPr>
          <w:color w:val="000000" w:themeColor="text1"/>
          <w:sz w:val="24"/>
          <w:szCs w:val="24"/>
        </w:rPr>
        <w:t xml:space="preserve">The assessment criteria for </w:t>
      </w:r>
      <w:r w:rsidR="004C22CE">
        <w:rPr>
          <w:color w:val="000000" w:themeColor="text1"/>
          <w:sz w:val="24"/>
          <w:szCs w:val="24"/>
        </w:rPr>
        <w:t xml:space="preserve">the </w:t>
      </w:r>
      <w:r w:rsidRPr="00C02BBE">
        <w:rPr>
          <w:color w:val="000000" w:themeColor="text1"/>
          <w:sz w:val="24"/>
          <w:szCs w:val="24"/>
        </w:rPr>
        <w:t xml:space="preserve">“probable/likely” category </w:t>
      </w:r>
      <w:proofErr w:type="gramStart"/>
      <w:r w:rsidRPr="00C02BBE">
        <w:rPr>
          <w:color w:val="000000" w:themeColor="text1"/>
          <w:sz w:val="24"/>
          <w:szCs w:val="24"/>
        </w:rPr>
        <w:t>are</w:t>
      </w:r>
      <w:proofErr w:type="gramEnd"/>
      <w:r w:rsidRPr="00C02BBE">
        <w:rPr>
          <w:color w:val="000000" w:themeColor="text1"/>
          <w:sz w:val="24"/>
          <w:szCs w:val="24"/>
        </w:rPr>
        <w:t xml:space="preserve"> as under:</w:t>
      </w:r>
    </w:p>
    <w:p w14:paraId="7187E5E9" w14:textId="77777777" w:rsidR="00BD617B" w:rsidRPr="00C02BBE" w:rsidRDefault="00BD617B" w:rsidP="00B551AA">
      <w:pPr>
        <w:pStyle w:val="ListParagraph"/>
        <w:widowControl/>
        <w:numPr>
          <w:ilvl w:val="0"/>
          <w:numId w:val="47"/>
        </w:numPr>
        <w:spacing w:after="120" w:line="360" w:lineRule="auto"/>
        <w:ind w:left="1080" w:hanging="180"/>
        <w:contextualSpacing w:val="0"/>
        <w:jc w:val="both"/>
        <w:rPr>
          <w:color w:val="000000" w:themeColor="text1"/>
          <w:sz w:val="24"/>
          <w:szCs w:val="24"/>
        </w:rPr>
      </w:pPr>
      <w:r w:rsidRPr="00C02BBE">
        <w:rPr>
          <w:color w:val="000000" w:themeColor="text1"/>
          <w:sz w:val="24"/>
          <w:szCs w:val="24"/>
        </w:rPr>
        <w:t>Event or laboratory test abnormality, with reasonable time relationship to drug intake</w:t>
      </w:r>
    </w:p>
    <w:p w14:paraId="058C05AC" w14:textId="77777777" w:rsidR="00BD617B" w:rsidRPr="00C02BBE" w:rsidRDefault="00BD617B" w:rsidP="00B551AA">
      <w:pPr>
        <w:pStyle w:val="ListParagraph"/>
        <w:widowControl/>
        <w:numPr>
          <w:ilvl w:val="0"/>
          <w:numId w:val="47"/>
        </w:numPr>
        <w:spacing w:after="120" w:line="360" w:lineRule="auto"/>
        <w:ind w:left="1080" w:hanging="180"/>
        <w:contextualSpacing w:val="0"/>
        <w:jc w:val="both"/>
        <w:rPr>
          <w:color w:val="000000" w:themeColor="text1"/>
          <w:sz w:val="24"/>
          <w:szCs w:val="24"/>
        </w:rPr>
      </w:pPr>
      <w:r w:rsidRPr="00C02BBE">
        <w:rPr>
          <w:color w:val="000000" w:themeColor="text1"/>
          <w:sz w:val="24"/>
          <w:szCs w:val="24"/>
        </w:rPr>
        <w:t>Unlikely to be attributed to disease or other drugs</w:t>
      </w:r>
    </w:p>
    <w:p w14:paraId="67C24BDB" w14:textId="77777777" w:rsidR="00BD617B" w:rsidRPr="00C02BBE" w:rsidRDefault="00BD617B" w:rsidP="00B551AA">
      <w:pPr>
        <w:pStyle w:val="ListParagraph"/>
        <w:widowControl/>
        <w:numPr>
          <w:ilvl w:val="0"/>
          <w:numId w:val="47"/>
        </w:numPr>
        <w:spacing w:after="120" w:line="360" w:lineRule="auto"/>
        <w:ind w:left="1080" w:hanging="180"/>
        <w:contextualSpacing w:val="0"/>
        <w:jc w:val="both"/>
        <w:rPr>
          <w:color w:val="000000" w:themeColor="text1"/>
          <w:sz w:val="24"/>
          <w:szCs w:val="24"/>
        </w:rPr>
      </w:pPr>
      <w:r w:rsidRPr="00C02BBE">
        <w:rPr>
          <w:color w:val="000000" w:themeColor="text1"/>
          <w:sz w:val="24"/>
          <w:szCs w:val="24"/>
        </w:rPr>
        <w:t>Response to withdrawal clinically reasonable</w:t>
      </w:r>
    </w:p>
    <w:p w14:paraId="258FFCB6" w14:textId="458642B3" w:rsidR="00BD617B" w:rsidRPr="000776F8" w:rsidRDefault="00BD617B" w:rsidP="00B551AA">
      <w:pPr>
        <w:pStyle w:val="ListParagraph"/>
        <w:widowControl/>
        <w:numPr>
          <w:ilvl w:val="0"/>
          <w:numId w:val="47"/>
        </w:numPr>
        <w:spacing w:after="120" w:line="360" w:lineRule="auto"/>
        <w:ind w:left="1080" w:hanging="180"/>
        <w:contextualSpacing w:val="0"/>
        <w:jc w:val="both"/>
        <w:rPr>
          <w:color w:val="000000" w:themeColor="text1"/>
          <w:sz w:val="24"/>
          <w:szCs w:val="24"/>
        </w:rPr>
      </w:pPr>
      <w:proofErr w:type="spellStart"/>
      <w:r w:rsidRPr="00C02BBE">
        <w:rPr>
          <w:color w:val="000000" w:themeColor="text1"/>
          <w:sz w:val="24"/>
          <w:szCs w:val="24"/>
        </w:rPr>
        <w:t>Rechallenge</w:t>
      </w:r>
      <w:proofErr w:type="spellEnd"/>
      <w:r w:rsidRPr="00C02BBE">
        <w:rPr>
          <w:color w:val="000000" w:themeColor="text1"/>
          <w:sz w:val="24"/>
          <w:szCs w:val="24"/>
        </w:rPr>
        <w:t xml:space="preserve"> not require</w:t>
      </w:r>
    </w:p>
    <w:p w14:paraId="1FDEA4D7" w14:textId="774791BE" w:rsidR="00BD617B" w:rsidRPr="00C02BBE" w:rsidRDefault="00BD617B" w:rsidP="00BD617B">
      <w:pPr>
        <w:jc w:val="both"/>
        <w:rPr>
          <w:b/>
          <w:i/>
          <w:color w:val="000000" w:themeColor="text1"/>
          <w:sz w:val="24"/>
          <w:szCs w:val="24"/>
        </w:rPr>
      </w:pPr>
      <w:r w:rsidRPr="00C02BBE">
        <w:rPr>
          <w:b/>
          <w:i/>
          <w:color w:val="000000" w:themeColor="text1"/>
          <w:sz w:val="24"/>
          <w:szCs w:val="24"/>
        </w:rPr>
        <w:t>Further Explanation of the term “Probable” Category.</w:t>
      </w:r>
    </w:p>
    <w:p w14:paraId="3B6693F6" w14:textId="77777777" w:rsidR="00BD617B" w:rsidRPr="00C02BBE" w:rsidRDefault="00BD617B" w:rsidP="00B551AA">
      <w:pPr>
        <w:pStyle w:val="ListParagraph"/>
        <w:widowControl/>
        <w:numPr>
          <w:ilvl w:val="0"/>
          <w:numId w:val="53"/>
        </w:numPr>
        <w:shd w:val="clear" w:color="auto" w:fill="FFFFFF"/>
        <w:spacing w:after="120" w:line="360" w:lineRule="auto"/>
        <w:ind w:left="900"/>
        <w:contextualSpacing w:val="0"/>
        <w:jc w:val="both"/>
        <w:textAlignment w:val="baseline"/>
        <w:rPr>
          <w:sz w:val="24"/>
          <w:szCs w:val="24"/>
          <w:lang w:eastAsia="en-GB"/>
        </w:rPr>
      </w:pPr>
      <w:r w:rsidRPr="00C02BBE">
        <w:rPr>
          <w:bCs/>
          <w:sz w:val="24"/>
          <w:szCs w:val="24"/>
          <w:u w:val="single"/>
          <w:bdr w:val="none" w:sz="0" w:space="0" w:color="auto" w:frame="1"/>
          <w:lang w:eastAsia="en-GB"/>
        </w:rPr>
        <w:t>Reasonable Time Relationship</w:t>
      </w:r>
      <w:r w:rsidRPr="00C02BBE">
        <w:rPr>
          <w:bCs/>
          <w:sz w:val="24"/>
          <w:szCs w:val="24"/>
          <w:bdr w:val="none" w:sz="0" w:space="0" w:color="auto" w:frame="1"/>
          <w:lang w:eastAsia="en-GB"/>
        </w:rPr>
        <w:t>:</w:t>
      </w:r>
      <w:r w:rsidRPr="00C02BBE">
        <w:rPr>
          <w:sz w:val="24"/>
          <w:szCs w:val="24"/>
          <w:lang w:eastAsia="en-GB"/>
        </w:rPr>
        <w:t xml:space="preserve"> Some examples of reasonable time relationships are, firstly and obviously, when the onset of the clinical condition was after the drug was started and not before; or secondly, a drug suspected of causing a congenital cardiac defect, for example, was taken in the first trimester of pregnancy when the heart is developing and not just in the last trimester when it couldn't affect the developing heart.</w:t>
      </w:r>
    </w:p>
    <w:p w14:paraId="6947259F" w14:textId="0B03C700" w:rsidR="00BD617B" w:rsidRPr="00C02BBE" w:rsidRDefault="00BD617B" w:rsidP="00B551AA">
      <w:pPr>
        <w:pStyle w:val="ListParagraph"/>
        <w:widowControl/>
        <w:numPr>
          <w:ilvl w:val="0"/>
          <w:numId w:val="53"/>
        </w:numPr>
        <w:shd w:val="clear" w:color="auto" w:fill="FFFFFF"/>
        <w:spacing w:after="120" w:line="360" w:lineRule="auto"/>
        <w:ind w:left="900"/>
        <w:contextualSpacing w:val="0"/>
        <w:jc w:val="both"/>
        <w:textAlignment w:val="baseline"/>
        <w:rPr>
          <w:sz w:val="24"/>
          <w:szCs w:val="24"/>
          <w:lang w:eastAsia="en-GB"/>
        </w:rPr>
      </w:pPr>
      <w:r w:rsidRPr="00C02BBE">
        <w:rPr>
          <w:sz w:val="24"/>
          <w:szCs w:val="24"/>
          <w:u w:val="single"/>
          <w:lang w:eastAsia="en-GB"/>
        </w:rPr>
        <w:t>Alter</w:t>
      </w:r>
      <w:r w:rsidR="003E5BAF">
        <w:rPr>
          <w:sz w:val="24"/>
          <w:szCs w:val="24"/>
          <w:u w:val="single"/>
          <w:lang w:eastAsia="en-GB"/>
        </w:rPr>
        <w:t>n</w:t>
      </w:r>
      <w:r w:rsidRPr="00C02BBE">
        <w:rPr>
          <w:sz w:val="24"/>
          <w:szCs w:val="24"/>
          <w:u w:val="single"/>
          <w:lang w:eastAsia="en-GB"/>
        </w:rPr>
        <w:t>ative Causes:</w:t>
      </w:r>
      <w:r w:rsidRPr="00C02BBE">
        <w:rPr>
          <w:sz w:val="24"/>
          <w:szCs w:val="24"/>
          <w:lang w:eastAsia="en-GB"/>
        </w:rPr>
        <w:t xml:space="preserve"> to determine if the patient's clinical conditions are likely to be alternative causes, we need first to identify them from the medical history if it is provided. They can also often be identified from the indications for the medicines the patient is taking, including the indication for the suspect medicine. Other drugs the patient was taking, the concomitants, should be considered. Is the clinical condition a recognised adverse reaction to any of them? If so, is there a reasonable time relationship with their intake in this case? If the patient recovered when only the suspect drug was withdrawn then concomitant drugs are unlikely to be alternative explanations.</w:t>
      </w:r>
    </w:p>
    <w:p w14:paraId="697B3C1F" w14:textId="2AF5F21D" w:rsidR="00BD617B" w:rsidRPr="00C02BBE" w:rsidRDefault="00BD617B" w:rsidP="00B551AA">
      <w:pPr>
        <w:pStyle w:val="ListParagraph"/>
        <w:widowControl/>
        <w:numPr>
          <w:ilvl w:val="0"/>
          <w:numId w:val="53"/>
        </w:numPr>
        <w:shd w:val="clear" w:color="auto" w:fill="FFFFFF"/>
        <w:spacing w:after="120" w:line="360" w:lineRule="auto"/>
        <w:ind w:left="900"/>
        <w:contextualSpacing w:val="0"/>
        <w:jc w:val="both"/>
        <w:textAlignment w:val="baseline"/>
        <w:rPr>
          <w:i/>
          <w:iCs/>
          <w:sz w:val="24"/>
          <w:szCs w:val="24"/>
          <w:lang w:eastAsia="en-GB"/>
        </w:rPr>
      </w:pPr>
      <w:proofErr w:type="spellStart"/>
      <w:r w:rsidRPr="00C02BBE">
        <w:rPr>
          <w:sz w:val="24"/>
          <w:szCs w:val="24"/>
          <w:u w:val="single"/>
          <w:lang w:eastAsia="en-GB"/>
        </w:rPr>
        <w:t>Dechallenge</w:t>
      </w:r>
      <w:proofErr w:type="spellEnd"/>
      <w:r w:rsidRPr="00C02BBE">
        <w:rPr>
          <w:sz w:val="24"/>
          <w:szCs w:val="24"/>
          <w:lang w:eastAsia="en-GB"/>
        </w:rPr>
        <w:t xml:space="preserve">: the response to withdrawal, that is, </w:t>
      </w:r>
      <w:proofErr w:type="spellStart"/>
      <w:r w:rsidRPr="00C02BBE">
        <w:rPr>
          <w:sz w:val="24"/>
          <w:szCs w:val="24"/>
          <w:lang w:eastAsia="en-GB"/>
        </w:rPr>
        <w:t>dechallenge</w:t>
      </w:r>
      <w:proofErr w:type="spellEnd"/>
      <w:r w:rsidRPr="00C02BBE">
        <w:rPr>
          <w:sz w:val="24"/>
          <w:szCs w:val="24"/>
          <w:lang w:eastAsia="en-GB"/>
        </w:rPr>
        <w:t xml:space="preserve">, and should be clinically reasonable. That is, the patient recovered after the drug was stopped or the dose reduced, </w:t>
      </w:r>
      <w:r w:rsidRPr="00C02BBE">
        <w:rPr>
          <w:sz w:val="24"/>
          <w:szCs w:val="24"/>
          <w:lang w:eastAsia="en-GB"/>
        </w:rPr>
        <w:lastRenderedPageBreak/>
        <w:t>within an expected period for the particular adverse reaction.</w:t>
      </w:r>
      <w:r w:rsidRPr="00C02BBE">
        <w:rPr>
          <w:rFonts w:eastAsiaTheme="minorEastAsia"/>
          <w:iCs/>
          <w:color w:val="0099BE"/>
          <w:spacing w:val="-4"/>
          <w:sz w:val="48"/>
          <w:szCs w:val="48"/>
        </w:rPr>
        <w:t xml:space="preserve"> </w:t>
      </w:r>
      <w:r w:rsidRPr="00C02BBE">
        <w:rPr>
          <w:iCs/>
          <w:sz w:val="24"/>
          <w:szCs w:val="24"/>
          <w:lang w:eastAsia="en-GB"/>
        </w:rPr>
        <w:t>Not applicable when irreversible tissue damage has occurred. Changes in tissue function might mimic natural disease so time to improvement follows natural evolution.</w:t>
      </w:r>
    </w:p>
    <w:p w14:paraId="1C5C3EB6" w14:textId="124C65FF" w:rsidR="00BD617B" w:rsidRPr="004C22CE" w:rsidRDefault="004C22CE" w:rsidP="004C22CE">
      <w:pPr>
        <w:pStyle w:val="ListParagraph"/>
        <w:widowControl/>
        <w:tabs>
          <w:tab w:val="left" w:pos="360"/>
        </w:tabs>
        <w:spacing w:line="276" w:lineRule="auto"/>
        <w:ind w:left="0"/>
        <w:jc w:val="both"/>
        <w:rPr>
          <w:bCs/>
          <w:i/>
          <w:iCs/>
          <w:color w:val="000000" w:themeColor="text1"/>
          <w:sz w:val="24"/>
          <w:szCs w:val="24"/>
        </w:rPr>
      </w:pPr>
      <w:r w:rsidRPr="004C22CE">
        <w:rPr>
          <w:bCs/>
          <w:i/>
          <w:iCs/>
          <w:color w:val="000000" w:themeColor="text1"/>
          <w:sz w:val="24"/>
          <w:szCs w:val="24"/>
        </w:rPr>
        <w:t xml:space="preserve">6.4.3 </w:t>
      </w:r>
      <w:r w:rsidR="00BD617B" w:rsidRPr="004C22CE">
        <w:rPr>
          <w:bCs/>
          <w:i/>
          <w:iCs/>
          <w:color w:val="000000" w:themeColor="text1"/>
          <w:sz w:val="24"/>
          <w:szCs w:val="24"/>
        </w:rPr>
        <w:t>Possible.</w:t>
      </w:r>
    </w:p>
    <w:p w14:paraId="19DE9480" w14:textId="49833D0C" w:rsidR="00BD617B" w:rsidRPr="00C02BBE" w:rsidRDefault="00BD617B" w:rsidP="00B25519">
      <w:pPr>
        <w:tabs>
          <w:tab w:val="left" w:pos="540"/>
        </w:tabs>
        <w:spacing w:after="120" w:line="360" w:lineRule="auto"/>
        <w:ind w:left="540"/>
        <w:jc w:val="both"/>
        <w:rPr>
          <w:color w:val="000000" w:themeColor="text1"/>
          <w:sz w:val="24"/>
          <w:szCs w:val="24"/>
        </w:rPr>
      </w:pPr>
      <w:r w:rsidRPr="00C02BBE">
        <w:rPr>
          <w:color w:val="000000" w:themeColor="text1"/>
          <w:sz w:val="24"/>
          <w:szCs w:val="24"/>
        </w:rPr>
        <w:t xml:space="preserve">The assessment criteria for </w:t>
      </w:r>
      <w:r w:rsidR="004C22CE">
        <w:rPr>
          <w:color w:val="000000" w:themeColor="text1"/>
          <w:sz w:val="24"/>
          <w:szCs w:val="24"/>
        </w:rPr>
        <w:t xml:space="preserve">the </w:t>
      </w:r>
      <w:r w:rsidRPr="00C02BBE">
        <w:rPr>
          <w:color w:val="000000" w:themeColor="text1"/>
          <w:sz w:val="24"/>
          <w:szCs w:val="24"/>
        </w:rPr>
        <w:t>“possible” category are as under:</w:t>
      </w:r>
    </w:p>
    <w:p w14:paraId="0AF3B7D0" w14:textId="77777777" w:rsidR="00BD617B" w:rsidRPr="00C02BBE" w:rsidRDefault="00BD617B" w:rsidP="00B551AA">
      <w:pPr>
        <w:pStyle w:val="ListParagraph"/>
        <w:widowControl/>
        <w:numPr>
          <w:ilvl w:val="0"/>
          <w:numId w:val="48"/>
        </w:numPr>
        <w:tabs>
          <w:tab w:val="left" w:pos="1080"/>
        </w:tabs>
        <w:spacing w:after="120" w:line="360" w:lineRule="auto"/>
        <w:ind w:left="1080" w:hanging="180"/>
        <w:contextualSpacing w:val="0"/>
        <w:jc w:val="both"/>
        <w:rPr>
          <w:color w:val="000000" w:themeColor="text1"/>
          <w:sz w:val="24"/>
          <w:szCs w:val="24"/>
        </w:rPr>
      </w:pPr>
      <w:r w:rsidRPr="00C02BBE">
        <w:rPr>
          <w:color w:val="000000" w:themeColor="text1"/>
          <w:sz w:val="24"/>
          <w:szCs w:val="24"/>
        </w:rPr>
        <w:t>Event or laboratory test abnormality, with reasonable time relationship to drug intake</w:t>
      </w:r>
    </w:p>
    <w:p w14:paraId="42DF5AB6" w14:textId="77777777" w:rsidR="00BD617B" w:rsidRPr="00C02BBE" w:rsidRDefault="00BD617B" w:rsidP="00B551AA">
      <w:pPr>
        <w:pStyle w:val="ListParagraph"/>
        <w:widowControl/>
        <w:numPr>
          <w:ilvl w:val="0"/>
          <w:numId w:val="48"/>
        </w:numPr>
        <w:tabs>
          <w:tab w:val="left" w:pos="1080"/>
        </w:tabs>
        <w:spacing w:after="120" w:line="360" w:lineRule="auto"/>
        <w:ind w:left="1080" w:hanging="180"/>
        <w:contextualSpacing w:val="0"/>
        <w:jc w:val="both"/>
        <w:rPr>
          <w:color w:val="000000" w:themeColor="text1"/>
          <w:sz w:val="24"/>
          <w:szCs w:val="24"/>
        </w:rPr>
      </w:pPr>
      <w:r w:rsidRPr="00C02BBE">
        <w:rPr>
          <w:color w:val="000000" w:themeColor="text1"/>
          <w:sz w:val="24"/>
          <w:szCs w:val="24"/>
        </w:rPr>
        <w:t>Could also be explained by disease or other drugs</w:t>
      </w:r>
    </w:p>
    <w:p w14:paraId="7C9B59BD" w14:textId="2EFCDBBC" w:rsidR="00BD617B" w:rsidRPr="00DB3114" w:rsidRDefault="00BD617B" w:rsidP="00B551AA">
      <w:pPr>
        <w:pStyle w:val="ListParagraph"/>
        <w:widowControl/>
        <w:numPr>
          <w:ilvl w:val="0"/>
          <w:numId w:val="48"/>
        </w:numPr>
        <w:tabs>
          <w:tab w:val="left" w:pos="1080"/>
        </w:tabs>
        <w:spacing w:after="120" w:line="360" w:lineRule="auto"/>
        <w:ind w:left="1080" w:hanging="180"/>
        <w:contextualSpacing w:val="0"/>
        <w:jc w:val="both"/>
        <w:rPr>
          <w:color w:val="000000" w:themeColor="text1"/>
          <w:sz w:val="24"/>
          <w:szCs w:val="24"/>
        </w:rPr>
      </w:pPr>
      <w:r w:rsidRPr="00C02BBE">
        <w:rPr>
          <w:color w:val="000000" w:themeColor="text1"/>
          <w:sz w:val="24"/>
          <w:szCs w:val="24"/>
        </w:rPr>
        <w:t>Information on drug withdrawal may be lacking or unclear</w:t>
      </w:r>
    </w:p>
    <w:p w14:paraId="6ECE9F9E" w14:textId="77777777" w:rsidR="00BD617B" w:rsidRPr="004C22CE" w:rsidRDefault="00BD617B" w:rsidP="00BD617B">
      <w:pPr>
        <w:tabs>
          <w:tab w:val="left" w:pos="360"/>
        </w:tabs>
        <w:jc w:val="both"/>
        <w:rPr>
          <w:b/>
          <w:i/>
          <w:color w:val="000000" w:themeColor="text1"/>
          <w:sz w:val="24"/>
          <w:szCs w:val="24"/>
        </w:rPr>
      </w:pPr>
      <w:r w:rsidRPr="004C22CE">
        <w:rPr>
          <w:b/>
          <w:i/>
          <w:color w:val="000000" w:themeColor="text1"/>
          <w:sz w:val="24"/>
          <w:szCs w:val="24"/>
        </w:rPr>
        <w:t>Further Explanation of “possible” category:</w:t>
      </w:r>
    </w:p>
    <w:p w14:paraId="07CE6943" w14:textId="6CC61E79" w:rsidR="00BD617B" w:rsidRPr="00C02BBE" w:rsidRDefault="00BD617B" w:rsidP="004C22CE">
      <w:pPr>
        <w:shd w:val="clear" w:color="auto" w:fill="FFFFFF"/>
        <w:spacing w:after="120" w:line="360" w:lineRule="auto"/>
        <w:ind w:left="540"/>
        <w:jc w:val="both"/>
        <w:textAlignment w:val="baseline"/>
        <w:rPr>
          <w:sz w:val="24"/>
          <w:szCs w:val="24"/>
          <w:lang w:eastAsia="en-GB"/>
        </w:rPr>
      </w:pPr>
      <w:r w:rsidRPr="00C02BBE">
        <w:rPr>
          <w:sz w:val="24"/>
          <w:szCs w:val="24"/>
          <w:bdr w:val="none" w:sz="0" w:space="0" w:color="auto" w:frame="1"/>
          <w:lang w:eastAsia="en-GB"/>
        </w:rPr>
        <w:t>A "possible" ADR report may be explained by other drugs or diseases. </w:t>
      </w:r>
      <w:r w:rsidRPr="00C02BBE">
        <w:rPr>
          <w:sz w:val="24"/>
          <w:szCs w:val="24"/>
          <w:lang w:eastAsia="en-GB"/>
        </w:rPr>
        <w:t xml:space="preserve">Like a "probable" reaction, we have an event or a laboratory test abnormality with </w:t>
      </w:r>
      <w:r w:rsidR="004C22CE">
        <w:rPr>
          <w:sz w:val="24"/>
          <w:szCs w:val="24"/>
          <w:lang w:eastAsia="en-GB"/>
        </w:rPr>
        <w:t xml:space="preserve">a </w:t>
      </w:r>
      <w:r w:rsidRPr="00C02BBE">
        <w:rPr>
          <w:sz w:val="24"/>
          <w:szCs w:val="24"/>
          <w:lang w:eastAsia="en-GB"/>
        </w:rPr>
        <w:t>reasonable time relationship to drug intake. Beyond that</w:t>
      </w:r>
      <w:r w:rsidR="004C22CE">
        <w:rPr>
          <w:sz w:val="24"/>
          <w:szCs w:val="24"/>
          <w:lang w:eastAsia="en-GB"/>
        </w:rPr>
        <w:t>,</w:t>
      </w:r>
      <w:r w:rsidRPr="00C02BBE">
        <w:rPr>
          <w:sz w:val="24"/>
          <w:szCs w:val="24"/>
          <w:lang w:eastAsia="en-GB"/>
        </w:rPr>
        <w:t xml:space="preserve"> there are several reasons for classifying a reaction as "possible". The suspected reaction could also be explained by other drugs the patient was taking. </w:t>
      </w:r>
      <w:r w:rsidR="004C22CE">
        <w:rPr>
          <w:sz w:val="24"/>
          <w:szCs w:val="24"/>
          <w:lang w:eastAsia="en-GB"/>
        </w:rPr>
        <w:t>The d</w:t>
      </w:r>
      <w:r w:rsidRPr="00C02BBE">
        <w:rPr>
          <w:sz w:val="24"/>
          <w:szCs w:val="24"/>
          <w:lang w:eastAsia="en-GB"/>
        </w:rPr>
        <w:t xml:space="preserve">isease might also be an explanation. For example, if we have a report of pancreatitis with a drug used to treat diabetes there is a problem because diabetes itself can lead to pancreatitis. Furthermore, a "possible" ADR report does not require </w:t>
      </w:r>
      <w:proofErr w:type="spellStart"/>
      <w:r w:rsidRPr="00C02BBE">
        <w:rPr>
          <w:sz w:val="24"/>
          <w:szCs w:val="24"/>
          <w:lang w:eastAsia="en-GB"/>
        </w:rPr>
        <w:t>dechallenge</w:t>
      </w:r>
      <w:proofErr w:type="spellEnd"/>
      <w:r w:rsidRPr="00C02BBE">
        <w:rPr>
          <w:sz w:val="24"/>
          <w:szCs w:val="24"/>
          <w:lang w:eastAsia="en-GB"/>
        </w:rPr>
        <w:t xml:space="preserve">. Another reason for a "possible" classification is </w:t>
      </w:r>
      <w:r w:rsidR="004C22CE">
        <w:rPr>
          <w:sz w:val="24"/>
          <w:szCs w:val="24"/>
          <w:lang w:eastAsia="en-GB"/>
        </w:rPr>
        <w:t xml:space="preserve">the </w:t>
      </w:r>
      <w:r w:rsidRPr="00C02BBE">
        <w:rPr>
          <w:sz w:val="24"/>
          <w:szCs w:val="24"/>
          <w:lang w:eastAsia="en-GB"/>
        </w:rPr>
        <w:t xml:space="preserve">lack of information about </w:t>
      </w:r>
      <w:r w:rsidR="004C22CE">
        <w:rPr>
          <w:sz w:val="24"/>
          <w:szCs w:val="24"/>
          <w:lang w:eastAsia="en-GB"/>
        </w:rPr>
        <w:t xml:space="preserve">the </w:t>
      </w:r>
      <w:r w:rsidRPr="00C02BBE">
        <w:rPr>
          <w:sz w:val="24"/>
          <w:szCs w:val="24"/>
          <w:lang w:eastAsia="en-GB"/>
        </w:rPr>
        <w:t xml:space="preserve">outcome when the suspect drug was stopped, </w:t>
      </w:r>
      <w:r w:rsidR="004C22CE">
        <w:rPr>
          <w:sz w:val="24"/>
          <w:szCs w:val="24"/>
          <w:lang w:eastAsia="en-GB"/>
        </w:rPr>
        <w:t>which</w:t>
      </w:r>
      <w:r w:rsidRPr="00C02BBE">
        <w:rPr>
          <w:sz w:val="24"/>
          <w:szCs w:val="24"/>
          <w:lang w:eastAsia="en-GB"/>
        </w:rPr>
        <w:t xml:space="preserve"> is on </w:t>
      </w:r>
      <w:proofErr w:type="spellStart"/>
      <w:r w:rsidRPr="00C02BBE">
        <w:rPr>
          <w:sz w:val="24"/>
          <w:szCs w:val="24"/>
          <w:lang w:eastAsia="en-GB"/>
        </w:rPr>
        <w:t>dechallenge</w:t>
      </w:r>
      <w:proofErr w:type="spellEnd"/>
      <w:r w:rsidRPr="00C02BBE">
        <w:rPr>
          <w:sz w:val="24"/>
          <w:szCs w:val="24"/>
          <w:lang w:eastAsia="en-GB"/>
        </w:rPr>
        <w:t>. In some cases that information will never be available. Stopping the suspect drug does not always lead to recovery even if it did cause the clinical event. Maybe it was so serious the patient died or was permanently harmed. Maybe the event was pregnancy due to an interaction with an oral contraceptive. The pregnancy will of course continue even if the drug is stopped. </w:t>
      </w:r>
    </w:p>
    <w:p w14:paraId="2E00FE60" w14:textId="177A9DE1" w:rsidR="00BD617B" w:rsidRPr="004C22CE" w:rsidRDefault="004C22CE" w:rsidP="004C22CE">
      <w:pPr>
        <w:pStyle w:val="ListParagraph"/>
        <w:widowControl/>
        <w:tabs>
          <w:tab w:val="left" w:pos="360"/>
        </w:tabs>
        <w:spacing w:after="120" w:line="360" w:lineRule="auto"/>
        <w:ind w:left="0"/>
        <w:jc w:val="both"/>
        <w:rPr>
          <w:i/>
          <w:iCs/>
          <w:color w:val="000000" w:themeColor="text1"/>
          <w:sz w:val="24"/>
          <w:szCs w:val="24"/>
        </w:rPr>
      </w:pPr>
      <w:r w:rsidRPr="004C22CE">
        <w:rPr>
          <w:i/>
          <w:iCs/>
          <w:sz w:val="24"/>
          <w:szCs w:val="24"/>
          <w:lang w:eastAsia="en-GB"/>
        </w:rPr>
        <w:t xml:space="preserve">6.4.4 </w:t>
      </w:r>
      <w:r w:rsidR="00BD617B" w:rsidRPr="004C22CE">
        <w:rPr>
          <w:i/>
          <w:iCs/>
          <w:color w:val="000000" w:themeColor="text1"/>
          <w:sz w:val="24"/>
          <w:szCs w:val="24"/>
        </w:rPr>
        <w:t>Unlikely.</w:t>
      </w:r>
    </w:p>
    <w:p w14:paraId="772B74A0" w14:textId="1FCED957" w:rsidR="00BD617B" w:rsidRPr="00C02BBE" w:rsidRDefault="00BD617B" w:rsidP="00DF0147">
      <w:pPr>
        <w:tabs>
          <w:tab w:val="left" w:pos="360"/>
        </w:tabs>
        <w:spacing w:after="120" w:line="360" w:lineRule="auto"/>
        <w:ind w:left="540"/>
        <w:jc w:val="both"/>
        <w:rPr>
          <w:color w:val="000000" w:themeColor="text1"/>
          <w:sz w:val="24"/>
          <w:szCs w:val="24"/>
        </w:rPr>
      </w:pPr>
      <w:r w:rsidRPr="00C02BBE">
        <w:rPr>
          <w:color w:val="000000" w:themeColor="text1"/>
          <w:sz w:val="24"/>
          <w:szCs w:val="24"/>
        </w:rPr>
        <w:t xml:space="preserve">The assessment criteria for </w:t>
      </w:r>
      <w:r w:rsidR="004C22CE">
        <w:rPr>
          <w:color w:val="000000" w:themeColor="text1"/>
          <w:sz w:val="24"/>
          <w:szCs w:val="24"/>
        </w:rPr>
        <w:t xml:space="preserve">the </w:t>
      </w:r>
      <w:r w:rsidRPr="00C02BBE">
        <w:rPr>
          <w:color w:val="000000" w:themeColor="text1"/>
          <w:sz w:val="24"/>
          <w:szCs w:val="24"/>
        </w:rPr>
        <w:t xml:space="preserve">“Unlikely” category </w:t>
      </w:r>
      <w:r w:rsidR="004C22CE">
        <w:rPr>
          <w:color w:val="000000" w:themeColor="text1"/>
          <w:sz w:val="24"/>
          <w:szCs w:val="24"/>
        </w:rPr>
        <w:t xml:space="preserve">are </w:t>
      </w:r>
      <w:r w:rsidRPr="00C02BBE">
        <w:rPr>
          <w:color w:val="000000" w:themeColor="text1"/>
          <w:sz w:val="24"/>
          <w:szCs w:val="24"/>
        </w:rPr>
        <w:t>as under:</w:t>
      </w:r>
    </w:p>
    <w:p w14:paraId="59261077" w14:textId="77777777" w:rsidR="00BD617B" w:rsidRPr="00C02BBE" w:rsidRDefault="00BD617B" w:rsidP="00B551AA">
      <w:pPr>
        <w:pStyle w:val="ListParagraph"/>
        <w:widowControl/>
        <w:numPr>
          <w:ilvl w:val="0"/>
          <w:numId w:val="49"/>
        </w:numPr>
        <w:spacing w:after="120" w:line="360" w:lineRule="auto"/>
        <w:ind w:left="1260" w:hanging="270"/>
        <w:contextualSpacing w:val="0"/>
        <w:jc w:val="both"/>
        <w:rPr>
          <w:color w:val="000000" w:themeColor="text1"/>
          <w:sz w:val="24"/>
          <w:szCs w:val="24"/>
        </w:rPr>
      </w:pPr>
      <w:r w:rsidRPr="00C02BBE">
        <w:rPr>
          <w:color w:val="000000" w:themeColor="text1"/>
          <w:sz w:val="24"/>
          <w:szCs w:val="24"/>
        </w:rPr>
        <w:t>Event or laboratory test abnormality, with a time to drug intake</w:t>
      </w:r>
      <w:r w:rsidRPr="00C02BBE">
        <w:rPr>
          <w:color w:val="000000" w:themeColor="text1"/>
          <w:sz w:val="24"/>
          <w:szCs w:val="24"/>
        </w:rPr>
        <w:br/>
        <w:t xml:space="preserve">that makes a relationship improbable (but not impossible) </w:t>
      </w:r>
    </w:p>
    <w:p w14:paraId="24528644" w14:textId="77777777" w:rsidR="00BD617B" w:rsidRPr="00C02BBE" w:rsidRDefault="00BD617B" w:rsidP="00B551AA">
      <w:pPr>
        <w:pStyle w:val="ListParagraph"/>
        <w:widowControl/>
        <w:numPr>
          <w:ilvl w:val="0"/>
          <w:numId w:val="49"/>
        </w:numPr>
        <w:spacing w:after="120" w:line="360" w:lineRule="auto"/>
        <w:ind w:left="1260" w:hanging="270"/>
        <w:contextualSpacing w:val="0"/>
        <w:jc w:val="both"/>
        <w:rPr>
          <w:color w:val="000000" w:themeColor="text1"/>
          <w:sz w:val="24"/>
          <w:szCs w:val="24"/>
        </w:rPr>
      </w:pPr>
      <w:r w:rsidRPr="00C02BBE">
        <w:rPr>
          <w:color w:val="000000" w:themeColor="text1"/>
          <w:sz w:val="24"/>
          <w:szCs w:val="24"/>
        </w:rPr>
        <w:t>Disease or other drugs provide plausible explanations.</w:t>
      </w:r>
    </w:p>
    <w:p w14:paraId="0CF59ACD" w14:textId="77777777" w:rsidR="00BD617B" w:rsidRPr="00C02BBE" w:rsidRDefault="00BD617B" w:rsidP="00BD617B">
      <w:pPr>
        <w:jc w:val="both"/>
        <w:rPr>
          <w:color w:val="000000" w:themeColor="text1"/>
          <w:sz w:val="24"/>
          <w:szCs w:val="24"/>
        </w:rPr>
      </w:pPr>
    </w:p>
    <w:p w14:paraId="45405183" w14:textId="77777777" w:rsidR="00BD617B" w:rsidRPr="00C02BBE" w:rsidRDefault="00BD617B" w:rsidP="004C22CE">
      <w:pPr>
        <w:spacing w:after="120" w:line="360" w:lineRule="auto"/>
        <w:jc w:val="both"/>
        <w:rPr>
          <w:b/>
          <w:i/>
          <w:color w:val="000000" w:themeColor="text1"/>
          <w:sz w:val="24"/>
          <w:szCs w:val="24"/>
        </w:rPr>
      </w:pPr>
      <w:r w:rsidRPr="00C02BBE">
        <w:rPr>
          <w:b/>
          <w:i/>
          <w:color w:val="000000" w:themeColor="text1"/>
          <w:sz w:val="24"/>
          <w:szCs w:val="24"/>
        </w:rPr>
        <w:t>Further Explanation of “Unlikely” Category.</w:t>
      </w:r>
    </w:p>
    <w:p w14:paraId="4F83DA6B" w14:textId="248FBEDF" w:rsidR="00BD617B" w:rsidRPr="00C02BBE" w:rsidRDefault="00BD617B" w:rsidP="00F30034">
      <w:pPr>
        <w:shd w:val="clear" w:color="auto" w:fill="FFFFFF"/>
        <w:spacing w:after="120" w:line="360" w:lineRule="auto"/>
        <w:ind w:left="540"/>
        <w:jc w:val="both"/>
        <w:textAlignment w:val="baseline"/>
        <w:rPr>
          <w:sz w:val="24"/>
          <w:szCs w:val="24"/>
          <w:lang w:eastAsia="en-GB"/>
        </w:rPr>
      </w:pPr>
      <w:r w:rsidRPr="00C02BBE">
        <w:rPr>
          <w:sz w:val="24"/>
          <w:szCs w:val="24"/>
          <w:lang w:eastAsia="en-GB"/>
        </w:rPr>
        <w:t xml:space="preserve">An "unlikely" ADR report may have an improbable time to onset or a more likely alternative </w:t>
      </w:r>
      <w:r w:rsidRPr="00C02BBE">
        <w:rPr>
          <w:sz w:val="24"/>
          <w:szCs w:val="24"/>
          <w:lang w:eastAsia="en-GB"/>
        </w:rPr>
        <w:lastRenderedPageBreak/>
        <w:t>explanation. An event or laboratory test abnormality, with a time to drug intake that makes a relationship improbable for example before for example the drug was started, or too long after it was discontinued, or it was not in keeping with the known time to onset for a recognised adverse reaction. For example</w:t>
      </w:r>
      <w:r w:rsidR="004C22CE">
        <w:rPr>
          <w:sz w:val="24"/>
          <w:szCs w:val="24"/>
          <w:lang w:eastAsia="en-GB"/>
        </w:rPr>
        <w:t>,</w:t>
      </w:r>
      <w:r w:rsidRPr="00C02BBE">
        <w:rPr>
          <w:sz w:val="24"/>
          <w:szCs w:val="24"/>
          <w:lang w:eastAsia="en-GB"/>
        </w:rPr>
        <w:t xml:space="preserve"> it would take longer than one day for hepatic failure to occur after exposure to a drug. And then disease or other drugs provide plausible explanations that are more likely than the suspect drug.</w:t>
      </w:r>
    </w:p>
    <w:p w14:paraId="7780ADF5" w14:textId="77777777" w:rsidR="004C22CE" w:rsidRDefault="004C22CE" w:rsidP="004C22CE">
      <w:pPr>
        <w:pStyle w:val="ListParagraph"/>
        <w:widowControl/>
        <w:tabs>
          <w:tab w:val="left" w:pos="360"/>
        </w:tabs>
        <w:spacing w:line="276" w:lineRule="auto"/>
        <w:ind w:left="0"/>
        <w:jc w:val="both"/>
        <w:rPr>
          <w:b/>
          <w:color w:val="000000" w:themeColor="text1"/>
          <w:sz w:val="24"/>
          <w:szCs w:val="24"/>
        </w:rPr>
      </w:pPr>
    </w:p>
    <w:p w14:paraId="29A1E7B0" w14:textId="006A689F" w:rsidR="00BD617B" w:rsidRPr="004C22CE" w:rsidRDefault="004C22CE" w:rsidP="004C22CE">
      <w:pPr>
        <w:pStyle w:val="ListParagraph"/>
        <w:widowControl/>
        <w:tabs>
          <w:tab w:val="left" w:pos="360"/>
        </w:tabs>
        <w:spacing w:after="120" w:line="360" w:lineRule="auto"/>
        <w:ind w:left="0"/>
        <w:jc w:val="both"/>
        <w:rPr>
          <w:bCs/>
          <w:i/>
          <w:iCs/>
          <w:color w:val="000000" w:themeColor="text1"/>
          <w:sz w:val="24"/>
          <w:szCs w:val="24"/>
        </w:rPr>
      </w:pPr>
      <w:r w:rsidRPr="004C22CE">
        <w:rPr>
          <w:bCs/>
          <w:i/>
          <w:iCs/>
          <w:color w:val="000000" w:themeColor="text1"/>
          <w:sz w:val="24"/>
          <w:szCs w:val="24"/>
        </w:rPr>
        <w:t>6.4.5</w:t>
      </w:r>
      <w:r w:rsidR="00BD617B" w:rsidRPr="004C22CE">
        <w:rPr>
          <w:bCs/>
          <w:i/>
          <w:iCs/>
          <w:color w:val="000000" w:themeColor="text1"/>
          <w:sz w:val="24"/>
          <w:szCs w:val="24"/>
        </w:rPr>
        <w:t>Conditional/Unclassified.</w:t>
      </w:r>
    </w:p>
    <w:p w14:paraId="43421FD5" w14:textId="38561555" w:rsidR="00BD617B" w:rsidRPr="00C02BBE" w:rsidRDefault="00BD617B" w:rsidP="00F30034">
      <w:pPr>
        <w:tabs>
          <w:tab w:val="left" w:pos="360"/>
        </w:tabs>
        <w:spacing w:after="120" w:line="360" w:lineRule="auto"/>
        <w:ind w:left="540"/>
        <w:jc w:val="both"/>
        <w:rPr>
          <w:color w:val="000000" w:themeColor="text1"/>
          <w:sz w:val="24"/>
          <w:szCs w:val="24"/>
        </w:rPr>
      </w:pPr>
      <w:r w:rsidRPr="00C02BBE">
        <w:rPr>
          <w:color w:val="000000" w:themeColor="text1"/>
          <w:sz w:val="24"/>
          <w:szCs w:val="24"/>
        </w:rPr>
        <w:t xml:space="preserve">The assessment criteria for </w:t>
      </w:r>
      <w:r w:rsidR="004C22CE">
        <w:rPr>
          <w:color w:val="000000" w:themeColor="text1"/>
          <w:sz w:val="24"/>
          <w:szCs w:val="24"/>
        </w:rPr>
        <w:t xml:space="preserve">the </w:t>
      </w:r>
      <w:r w:rsidRPr="00C02BBE">
        <w:rPr>
          <w:color w:val="000000" w:themeColor="text1"/>
          <w:sz w:val="24"/>
          <w:szCs w:val="24"/>
        </w:rPr>
        <w:t xml:space="preserve">“Conditional/Unclassified” category </w:t>
      </w:r>
      <w:proofErr w:type="gramStart"/>
      <w:r w:rsidR="003E5BAF">
        <w:rPr>
          <w:color w:val="000000" w:themeColor="text1"/>
          <w:sz w:val="24"/>
          <w:szCs w:val="24"/>
        </w:rPr>
        <w:t>are</w:t>
      </w:r>
      <w:proofErr w:type="gramEnd"/>
      <w:r w:rsidR="003E5BAF">
        <w:rPr>
          <w:color w:val="000000" w:themeColor="text1"/>
          <w:sz w:val="24"/>
          <w:szCs w:val="24"/>
        </w:rPr>
        <w:t xml:space="preserve"> </w:t>
      </w:r>
      <w:r w:rsidRPr="00C02BBE">
        <w:rPr>
          <w:color w:val="000000" w:themeColor="text1"/>
          <w:sz w:val="24"/>
          <w:szCs w:val="24"/>
        </w:rPr>
        <w:t>as under:</w:t>
      </w:r>
    </w:p>
    <w:p w14:paraId="5ACC0080" w14:textId="77777777" w:rsidR="00BD617B" w:rsidRPr="00C02BBE" w:rsidRDefault="00BD617B" w:rsidP="00B551AA">
      <w:pPr>
        <w:pStyle w:val="ListParagraph"/>
        <w:widowControl/>
        <w:numPr>
          <w:ilvl w:val="0"/>
          <w:numId w:val="50"/>
        </w:numPr>
        <w:spacing w:after="120" w:line="360" w:lineRule="auto"/>
        <w:ind w:left="1080"/>
        <w:contextualSpacing w:val="0"/>
        <w:jc w:val="both"/>
        <w:rPr>
          <w:color w:val="000000" w:themeColor="text1"/>
          <w:sz w:val="24"/>
          <w:szCs w:val="24"/>
        </w:rPr>
      </w:pPr>
      <w:r w:rsidRPr="00C02BBE">
        <w:rPr>
          <w:color w:val="000000" w:themeColor="text1"/>
          <w:sz w:val="24"/>
          <w:szCs w:val="24"/>
        </w:rPr>
        <w:t>Event or laboratory test abnormality</w:t>
      </w:r>
    </w:p>
    <w:p w14:paraId="5F3C0B56" w14:textId="6BD805AA" w:rsidR="00BD617B" w:rsidRPr="00C02BBE" w:rsidRDefault="00BD617B" w:rsidP="00B551AA">
      <w:pPr>
        <w:pStyle w:val="ListParagraph"/>
        <w:widowControl/>
        <w:numPr>
          <w:ilvl w:val="0"/>
          <w:numId w:val="50"/>
        </w:numPr>
        <w:spacing w:after="120" w:line="360" w:lineRule="auto"/>
        <w:ind w:left="1080"/>
        <w:contextualSpacing w:val="0"/>
        <w:jc w:val="both"/>
        <w:rPr>
          <w:color w:val="000000" w:themeColor="text1"/>
          <w:sz w:val="24"/>
          <w:szCs w:val="24"/>
        </w:rPr>
      </w:pPr>
      <w:r w:rsidRPr="00C02BBE">
        <w:rPr>
          <w:color w:val="000000" w:themeColor="text1"/>
          <w:sz w:val="24"/>
          <w:szCs w:val="24"/>
        </w:rPr>
        <w:t xml:space="preserve">More data for proper assessment </w:t>
      </w:r>
      <w:r w:rsidR="004C22CE">
        <w:rPr>
          <w:color w:val="000000" w:themeColor="text1"/>
          <w:sz w:val="24"/>
          <w:szCs w:val="24"/>
        </w:rPr>
        <w:t xml:space="preserve">is </w:t>
      </w:r>
      <w:r w:rsidRPr="00C02BBE">
        <w:rPr>
          <w:color w:val="000000" w:themeColor="text1"/>
          <w:sz w:val="24"/>
          <w:szCs w:val="24"/>
        </w:rPr>
        <w:t>needed, or</w:t>
      </w:r>
    </w:p>
    <w:p w14:paraId="1D8BBE1B" w14:textId="77777777" w:rsidR="00BD617B" w:rsidRPr="00C02BBE" w:rsidRDefault="00BD617B" w:rsidP="00B551AA">
      <w:pPr>
        <w:pStyle w:val="ListParagraph"/>
        <w:widowControl/>
        <w:numPr>
          <w:ilvl w:val="0"/>
          <w:numId w:val="50"/>
        </w:numPr>
        <w:spacing w:after="120" w:line="360" w:lineRule="auto"/>
        <w:ind w:left="1080"/>
        <w:contextualSpacing w:val="0"/>
        <w:jc w:val="both"/>
        <w:rPr>
          <w:color w:val="000000" w:themeColor="text1"/>
          <w:sz w:val="24"/>
          <w:szCs w:val="24"/>
        </w:rPr>
      </w:pPr>
      <w:r w:rsidRPr="00C02BBE">
        <w:rPr>
          <w:color w:val="000000" w:themeColor="text1"/>
          <w:sz w:val="24"/>
          <w:szCs w:val="24"/>
        </w:rPr>
        <w:t>Additional data under examination</w:t>
      </w:r>
    </w:p>
    <w:p w14:paraId="1508DFD0" w14:textId="77777777" w:rsidR="00BD617B" w:rsidRPr="00C02BBE" w:rsidRDefault="00BD617B" w:rsidP="00BD617B">
      <w:pPr>
        <w:pStyle w:val="ListParagraph"/>
        <w:tabs>
          <w:tab w:val="left" w:pos="360"/>
        </w:tabs>
        <w:ind w:left="0"/>
        <w:jc w:val="both"/>
        <w:rPr>
          <w:b/>
          <w:color w:val="000000" w:themeColor="text1"/>
          <w:sz w:val="24"/>
          <w:szCs w:val="24"/>
        </w:rPr>
      </w:pPr>
    </w:p>
    <w:p w14:paraId="107EE56A" w14:textId="6507FDA1" w:rsidR="00BD617B" w:rsidRPr="00C02BBE" w:rsidRDefault="00BD617B" w:rsidP="004C22CE">
      <w:pPr>
        <w:pStyle w:val="ListParagraph"/>
        <w:tabs>
          <w:tab w:val="left" w:pos="360"/>
        </w:tabs>
        <w:spacing w:after="120" w:line="360" w:lineRule="auto"/>
        <w:ind w:left="0"/>
        <w:jc w:val="both"/>
        <w:rPr>
          <w:b/>
          <w:i/>
          <w:color w:val="000000" w:themeColor="text1"/>
          <w:sz w:val="24"/>
          <w:szCs w:val="24"/>
        </w:rPr>
      </w:pPr>
      <w:r w:rsidRPr="00C02BBE">
        <w:rPr>
          <w:b/>
          <w:i/>
          <w:color w:val="000000" w:themeColor="text1"/>
          <w:sz w:val="24"/>
          <w:szCs w:val="24"/>
        </w:rPr>
        <w:t xml:space="preserve">Further Explanation of </w:t>
      </w:r>
      <w:r w:rsidR="004C22CE">
        <w:rPr>
          <w:b/>
          <w:i/>
          <w:color w:val="000000" w:themeColor="text1"/>
          <w:sz w:val="24"/>
          <w:szCs w:val="24"/>
        </w:rPr>
        <w:t xml:space="preserve">the </w:t>
      </w:r>
      <w:r w:rsidRPr="00C02BBE">
        <w:rPr>
          <w:b/>
          <w:i/>
          <w:color w:val="000000" w:themeColor="text1"/>
          <w:sz w:val="24"/>
          <w:szCs w:val="24"/>
        </w:rPr>
        <w:t>“Conditional/ Unclassified” category.</w:t>
      </w:r>
    </w:p>
    <w:p w14:paraId="6F33C57C" w14:textId="3655D0BE" w:rsidR="00BD617B" w:rsidRDefault="00BD617B" w:rsidP="00300A39">
      <w:pPr>
        <w:shd w:val="clear" w:color="auto" w:fill="FFFFFF"/>
        <w:spacing w:after="120" w:line="360" w:lineRule="auto"/>
        <w:ind w:left="540"/>
        <w:jc w:val="both"/>
        <w:textAlignment w:val="baseline"/>
        <w:rPr>
          <w:sz w:val="24"/>
          <w:szCs w:val="24"/>
          <w:lang w:eastAsia="en-GB"/>
        </w:rPr>
      </w:pPr>
      <w:r w:rsidRPr="00C02BBE">
        <w:rPr>
          <w:sz w:val="24"/>
          <w:szCs w:val="24"/>
          <w:lang w:eastAsia="en-GB"/>
        </w:rPr>
        <w:t xml:space="preserve">"Unclassified" ADR reports usually contain very little information. Sadly, we receive </w:t>
      </w:r>
      <w:r w:rsidR="004C22CE">
        <w:rPr>
          <w:sz w:val="24"/>
          <w:szCs w:val="24"/>
          <w:lang w:eastAsia="en-GB"/>
        </w:rPr>
        <w:t>several</w:t>
      </w:r>
      <w:r w:rsidRPr="00C02BBE">
        <w:rPr>
          <w:sz w:val="24"/>
          <w:szCs w:val="24"/>
          <w:lang w:eastAsia="en-GB"/>
        </w:rPr>
        <w:t xml:space="preserve"> reports that have very little information in them. For example, we might have reports that say that the patient took the drug on an unknown date, they had the event on an unknown date. We don’t even know if the event occurred before or after starting the drug. We suspect it occurred afterwards because it was reported, but we can’t be sure. </w:t>
      </w:r>
      <w:proofErr w:type="gramStart"/>
      <w:r w:rsidRPr="00C02BBE">
        <w:rPr>
          <w:sz w:val="24"/>
          <w:szCs w:val="24"/>
          <w:lang w:eastAsia="en-GB"/>
        </w:rPr>
        <w:t>So</w:t>
      </w:r>
      <w:proofErr w:type="gramEnd"/>
      <w:r w:rsidRPr="00C02BBE">
        <w:rPr>
          <w:sz w:val="24"/>
          <w:szCs w:val="24"/>
          <w:lang w:eastAsia="en-GB"/>
        </w:rPr>
        <w:t xml:space="preserve"> we say these are "unclassified". Some people also use this as a "conditional" category for unexpected reactions that don't fit with our knowledge about the drug and the information in the reports is limited. They may add to evidence later if similar reports are submitted. </w:t>
      </w:r>
    </w:p>
    <w:p w14:paraId="61F7DC96" w14:textId="77777777" w:rsidR="004C22CE" w:rsidRPr="00C02BBE" w:rsidRDefault="004C22CE" w:rsidP="00BD617B">
      <w:pPr>
        <w:shd w:val="clear" w:color="auto" w:fill="FFFFFF"/>
        <w:jc w:val="both"/>
        <w:textAlignment w:val="baseline"/>
        <w:rPr>
          <w:sz w:val="24"/>
          <w:szCs w:val="24"/>
          <w:lang w:eastAsia="en-GB"/>
        </w:rPr>
      </w:pPr>
    </w:p>
    <w:p w14:paraId="302C05CE" w14:textId="0B286EF2" w:rsidR="00BD617B" w:rsidRPr="004C22CE" w:rsidRDefault="004C22CE" w:rsidP="004C22CE">
      <w:pPr>
        <w:pStyle w:val="ListParagraph"/>
        <w:widowControl/>
        <w:tabs>
          <w:tab w:val="left" w:pos="360"/>
        </w:tabs>
        <w:spacing w:after="120" w:line="360" w:lineRule="auto"/>
        <w:ind w:left="0"/>
        <w:jc w:val="both"/>
        <w:rPr>
          <w:bCs/>
          <w:i/>
          <w:iCs/>
          <w:color w:val="000000" w:themeColor="text1"/>
          <w:sz w:val="24"/>
          <w:szCs w:val="24"/>
        </w:rPr>
      </w:pPr>
      <w:r w:rsidRPr="004C22CE">
        <w:rPr>
          <w:bCs/>
          <w:i/>
          <w:iCs/>
          <w:color w:val="000000" w:themeColor="text1"/>
          <w:sz w:val="24"/>
          <w:szCs w:val="24"/>
        </w:rPr>
        <w:t xml:space="preserve">6.4.6 </w:t>
      </w:r>
      <w:proofErr w:type="spellStart"/>
      <w:r w:rsidR="00BD617B" w:rsidRPr="004C22CE">
        <w:rPr>
          <w:bCs/>
          <w:i/>
          <w:iCs/>
          <w:color w:val="000000" w:themeColor="text1"/>
          <w:sz w:val="24"/>
          <w:szCs w:val="24"/>
        </w:rPr>
        <w:t>Unassessable</w:t>
      </w:r>
      <w:proofErr w:type="spellEnd"/>
      <w:r w:rsidR="00BD617B" w:rsidRPr="004C22CE">
        <w:rPr>
          <w:bCs/>
          <w:i/>
          <w:iCs/>
          <w:color w:val="000000" w:themeColor="text1"/>
          <w:sz w:val="24"/>
          <w:szCs w:val="24"/>
        </w:rPr>
        <w:t>/Unclassifiable.</w:t>
      </w:r>
    </w:p>
    <w:p w14:paraId="23E78F12" w14:textId="22ECA36E" w:rsidR="00BD617B" w:rsidRPr="00C02BBE" w:rsidRDefault="00BD617B" w:rsidP="00300A39">
      <w:pPr>
        <w:tabs>
          <w:tab w:val="left" w:pos="360"/>
        </w:tabs>
        <w:spacing w:after="120" w:line="360" w:lineRule="auto"/>
        <w:ind w:left="540"/>
        <w:jc w:val="both"/>
        <w:rPr>
          <w:color w:val="000000" w:themeColor="text1"/>
          <w:sz w:val="24"/>
          <w:szCs w:val="24"/>
        </w:rPr>
      </w:pPr>
      <w:r w:rsidRPr="00C02BBE">
        <w:rPr>
          <w:color w:val="000000" w:themeColor="text1"/>
          <w:sz w:val="24"/>
          <w:szCs w:val="24"/>
        </w:rPr>
        <w:t xml:space="preserve">The assessment criteria for </w:t>
      </w:r>
      <w:r w:rsidR="004C22CE">
        <w:rPr>
          <w:color w:val="000000" w:themeColor="text1"/>
          <w:sz w:val="24"/>
          <w:szCs w:val="24"/>
        </w:rPr>
        <w:t xml:space="preserve">the </w:t>
      </w:r>
      <w:r w:rsidRPr="00C02BBE">
        <w:rPr>
          <w:color w:val="000000" w:themeColor="text1"/>
          <w:sz w:val="24"/>
          <w:szCs w:val="24"/>
        </w:rPr>
        <w:t>“</w:t>
      </w:r>
      <w:proofErr w:type="spellStart"/>
      <w:r w:rsidRPr="00C02BBE">
        <w:rPr>
          <w:color w:val="000000" w:themeColor="text1"/>
          <w:sz w:val="24"/>
          <w:szCs w:val="24"/>
        </w:rPr>
        <w:t>Unassessable</w:t>
      </w:r>
      <w:proofErr w:type="spellEnd"/>
      <w:r w:rsidRPr="00C02BBE">
        <w:rPr>
          <w:color w:val="000000" w:themeColor="text1"/>
          <w:sz w:val="24"/>
          <w:szCs w:val="24"/>
        </w:rPr>
        <w:t xml:space="preserve">/Unclassifiable” category </w:t>
      </w:r>
      <w:proofErr w:type="gramStart"/>
      <w:r w:rsidR="004C22CE">
        <w:rPr>
          <w:color w:val="000000" w:themeColor="text1"/>
          <w:sz w:val="24"/>
          <w:szCs w:val="24"/>
        </w:rPr>
        <w:t>are</w:t>
      </w:r>
      <w:proofErr w:type="gramEnd"/>
      <w:r w:rsidR="004C22CE">
        <w:rPr>
          <w:color w:val="000000" w:themeColor="text1"/>
          <w:sz w:val="24"/>
          <w:szCs w:val="24"/>
        </w:rPr>
        <w:t xml:space="preserve"> </w:t>
      </w:r>
      <w:r w:rsidRPr="00C02BBE">
        <w:rPr>
          <w:color w:val="000000" w:themeColor="text1"/>
          <w:sz w:val="24"/>
          <w:szCs w:val="24"/>
        </w:rPr>
        <w:t>as under:</w:t>
      </w:r>
    </w:p>
    <w:p w14:paraId="05687A36" w14:textId="77777777" w:rsidR="00BD617B" w:rsidRPr="00C02BBE" w:rsidRDefault="00BD617B" w:rsidP="00B551AA">
      <w:pPr>
        <w:pStyle w:val="ListParagraph"/>
        <w:widowControl/>
        <w:numPr>
          <w:ilvl w:val="0"/>
          <w:numId w:val="51"/>
        </w:numPr>
        <w:spacing w:after="120" w:line="360" w:lineRule="auto"/>
        <w:ind w:left="1080" w:hanging="270"/>
        <w:contextualSpacing w:val="0"/>
        <w:jc w:val="both"/>
        <w:rPr>
          <w:color w:val="000000" w:themeColor="text1"/>
          <w:sz w:val="24"/>
          <w:szCs w:val="24"/>
        </w:rPr>
      </w:pPr>
      <w:r w:rsidRPr="00C02BBE">
        <w:rPr>
          <w:color w:val="000000" w:themeColor="text1"/>
          <w:sz w:val="24"/>
          <w:szCs w:val="24"/>
        </w:rPr>
        <w:t>Report suggesting an adverse reaction</w:t>
      </w:r>
    </w:p>
    <w:p w14:paraId="142526D6" w14:textId="4C02CFD9" w:rsidR="00BD617B" w:rsidRPr="00C02BBE" w:rsidRDefault="00BD617B" w:rsidP="00B551AA">
      <w:pPr>
        <w:pStyle w:val="ListParagraph"/>
        <w:widowControl/>
        <w:numPr>
          <w:ilvl w:val="0"/>
          <w:numId w:val="51"/>
        </w:numPr>
        <w:spacing w:after="120" w:line="360" w:lineRule="auto"/>
        <w:ind w:left="1080" w:hanging="270"/>
        <w:contextualSpacing w:val="0"/>
        <w:jc w:val="both"/>
        <w:rPr>
          <w:color w:val="000000" w:themeColor="text1"/>
          <w:sz w:val="24"/>
          <w:szCs w:val="24"/>
        </w:rPr>
      </w:pPr>
      <w:r w:rsidRPr="00C02BBE">
        <w:rPr>
          <w:color w:val="000000" w:themeColor="text1"/>
          <w:sz w:val="24"/>
          <w:szCs w:val="24"/>
        </w:rPr>
        <w:t xml:space="preserve">Cannot be judged because </w:t>
      </w:r>
      <w:r w:rsidR="004C22CE">
        <w:rPr>
          <w:color w:val="000000" w:themeColor="text1"/>
          <w:sz w:val="24"/>
          <w:szCs w:val="24"/>
        </w:rPr>
        <w:t xml:space="preserve">the </w:t>
      </w:r>
      <w:r w:rsidRPr="00C02BBE">
        <w:rPr>
          <w:color w:val="000000" w:themeColor="text1"/>
          <w:sz w:val="24"/>
          <w:szCs w:val="24"/>
        </w:rPr>
        <w:t>information is insufficient or contradictory</w:t>
      </w:r>
    </w:p>
    <w:p w14:paraId="704FA293" w14:textId="77777777" w:rsidR="00BD617B" w:rsidRPr="00C02BBE" w:rsidRDefault="00BD617B" w:rsidP="00B551AA">
      <w:pPr>
        <w:pStyle w:val="ListParagraph"/>
        <w:widowControl/>
        <w:numPr>
          <w:ilvl w:val="0"/>
          <w:numId w:val="51"/>
        </w:numPr>
        <w:spacing w:after="120" w:line="360" w:lineRule="auto"/>
        <w:ind w:left="1080" w:hanging="270"/>
        <w:contextualSpacing w:val="0"/>
        <w:jc w:val="both"/>
        <w:rPr>
          <w:color w:val="000000" w:themeColor="text1"/>
          <w:sz w:val="24"/>
          <w:szCs w:val="24"/>
        </w:rPr>
      </w:pPr>
      <w:r w:rsidRPr="00C02BBE">
        <w:rPr>
          <w:color w:val="000000" w:themeColor="text1"/>
          <w:sz w:val="24"/>
          <w:szCs w:val="24"/>
        </w:rPr>
        <w:t>Data cannot be supplemented or verified</w:t>
      </w:r>
    </w:p>
    <w:p w14:paraId="3A1CE281" w14:textId="77777777" w:rsidR="00BD617B" w:rsidRPr="00C02BBE" w:rsidRDefault="00BD617B" w:rsidP="00300A39">
      <w:pPr>
        <w:tabs>
          <w:tab w:val="left" w:pos="360"/>
        </w:tabs>
        <w:spacing w:after="120"/>
        <w:ind w:left="1080" w:hanging="270"/>
        <w:rPr>
          <w:sz w:val="24"/>
          <w:szCs w:val="24"/>
        </w:rPr>
      </w:pPr>
    </w:p>
    <w:p w14:paraId="012A4782" w14:textId="77777777" w:rsidR="00BD617B" w:rsidRPr="00C02BBE" w:rsidRDefault="00BD617B" w:rsidP="00300A39">
      <w:pPr>
        <w:shd w:val="clear" w:color="auto" w:fill="FFFFFF"/>
        <w:spacing w:after="120" w:line="360" w:lineRule="auto"/>
        <w:ind w:left="1080" w:hanging="270"/>
        <w:textAlignment w:val="baseline"/>
        <w:rPr>
          <w:sz w:val="24"/>
          <w:szCs w:val="24"/>
          <w:lang w:eastAsia="en-GB"/>
        </w:rPr>
      </w:pPr>
      <w:r w:rsidRPr="00C02BBE">
        <w:rPr>
          <w:sz w:val="24"/>
          <w:szCs w:val="24"/>
          <w:lang w:eastAsia="en-GB"/>
        </w:rPr>
        <w:lastRenderedPageBreak/>
        <w:t>"Unclassifiable" reports have insufficient information and no more is expected.</w:t>
      </w:r>
    </w:p>
    <w:p w14:paraId="4E05F522" w14:textId="77777777" w:rsidR="00BD617B" w:rsidRPr="00C02BBE" w:rsidRDefault="00BD617B" w:rsidP="00BD617B">
      <w:pPr>
        <w:shd w:val="clear" w:color="auto" w:fill="FFFFFF"/>
        <w:spacing w:line="360" w:lineRule="auto"/>
        <w:textAlignment w:val="baseline"/>
        <w:rPr>
          <w:sz w:val="24"/>
          <w:szCs w:val="24"/>
          <w:lang w:eastAsia="en-GB"/>
        </w:rPr>
      </w:pPr>
    </w:p>
    <w:p w14:paraId="5599E7F4" w14:textId="11812EA6" w:rsidR="00BD617B" w:rsidRPr="004C22CE" w:rsidRDefault="00BD617B" w:rsidP="004C22CE">
      <w:pPr>
        <w:pStyle w:val="ListParagraph"/>
        <w:tabs>
          <w:tab w:val="left" w:pos="360"/>
        </w:tabs>
        <w:spacing w:after="120"/>
        <w:ind w:left="0"/>
        <w:rPr>
          <w:b/>
          <w:sz w:val="28"/>
          <w:szCs w:val="28"/>
          <w:u w:val="single"/>
        </w:rPr>
      </w:pPr>
      <w:r w:rsidRPr="00453C79">
        <w:rPr>
          <w:b/>
          <w:sz w:val="28"/>
          <w:szCs w:val="28"/>
        </w:rPr>
        <w:t xml:space="preserve">6.5 </w:t>
      </w:r>
      <w:r w:rsidRPr="004C22CE">
        <w:rPr>
          <w:b/>
          <w:sz w:val="28"/>
          <w:szCs w:val="28"/>
          <w:u w:val="single"/>
        </w:rPr>
        <w:t xml:space="preserve">Method of </w:t>
      </w:r>
      <w:r w:rsidR="00E240D3" w:rsidRPr="004C22CE">
        <w:rPr>
          <w:b/>
          <w:sz w:val="28"/>
          <w:szCs w:val="28"/>
          <w:u w:val="single"/>
        </w:rPr>
        <w:t xml:space="preserve">causality assessment </w:t>
      </w:r>
      <w:r w:rsidRPr="004C22CE">
        <w:rPr>
          <w:b/>
          <w:sz w:val="28"/>
          <w:szCs w:val="28"/>
          <w:u w:val="single"/>
        </w:rPr>
        <w:t xml:space="preserve">for </w:t>
      </w:r>
      <w:r w:rsidR="00E240D3" w:rsidRPr="004C22CE">
        <w:rPr>
          <w:b/>
          <w:sz w:val="28"/>
          <w:szCs w:val="28"/>
          <w:u w:val="single"/>
        </w:rPr>
        <w:t>case series</w:t>
      </w:r>
      <w:r w:rsidRPr="004C22CE">
        <w:rPr>
          <w:b/>
          <w:sz w:val="28"/>
          <w:szCs w:val="28"/>
          <w:u w:val="single"/>
        </w:rPr>
        <w:t>.</w:t>
      </w:r>
    </w:p>
    <w:p w14:paraId="0C644F57" w14:textId="77777777" w:rsidR="00BD617B" w:rsidRPr="00C02BBE" w:rsidRDefault="00BD617B" w:rsidP="00300A39">
      <w:pPr>
        <w:spacing w:after="120" w:line="360" w:lineRule="auto"/>
        <w:ind w:left="540"/>
        <w:jc w:val="both"/>
        <w:rPr>
          <w:b/>
          <w:bCs/>
          <w:iCs/>
          <w:color w:val="000000" w:themeColor="text1"/>
          <w:sz w:val="24"/>
          <w:szCs w:val="24"/>
        </w:rPr>
      </w:pPr>
      <w:r w:rsidRPr="00C02BBE">
        <w:rPr>
          <w:color w:val="000000"/>
          <w:sz w:val="24"/>
          <w:szCs w:val="24"/>
        </w:rPr>
        <w:t>Case series is a group of patients with similar exposure (drug) and similar outcome (suspected ADR).</w:t>
      </w:r>
    </w:p>
    <w:p w14:paraId="7F446BF5" w14:textId="1F660AA5" w:rsidR="00BD617B" w:rsidRPr="00C02BBE" w:rsidRDefault="00BD617B" w:rsidP="00300A39">
      <w:pPr>
        <w:shd w:val="clear" w:color="auto" w:fill="FFFFFF"/>
        <w:spacing w:after="120" w:line="360" w:lineRule="auto"/>
        <w:ind w:left="540"/>
        <w:jc w:val="both"/>
        <w:textAlignment w:val="baseline"/>
        <w:rPr>
          <w:sz w:val="24"/>
          <w:szCs w:val="24"/>
          <w:lang w:eastAsia="en-GB"/>
        </w:rPr>
      </w:pPr>
      <w:r w:rsidRPr="00C02BBE">
        <w:rPr>
          <w:sz w:val="24"/>
          <w:szCs w:val="24"/>
          <w:lang w:eastAsia="en-GB"/>
        </w:rPr>
        <w:t xml:space="preserve">Problems with single case assessment are the following: plausible timing, may not be known; de/re-challenge may not have occurred; difficult to exclude other causes or recognize contributory causes; have only </w:t>
      </w:r>
      <w:r w:rsidR="0075207D">
        <w:rPr>
          <w:sz w:val="24"/>
          <w:szCs w:val="24"/>
          <w:lang w:eastAsia="en-GB"/>
        </w:rPr>
        <w:t xml:space="preserve">a </w:t>
      </w:r>
      <w:r w:rsidRPr="00C02BBE">
        <w:rPr>
          <w:sz w:val="24"/>
          <w:szCs w:val="24"/>
          <w:lang w:eastAsia="en-GB"/>
        </w:rPr>
        <w:t>small list of typical ADRs; and some time event is known, not useful for signal detection</w:t>
      </w:r>
    </w:p>
    <w:p w14:paraId="7EEE8E69" w14:textId="2CE0B912" w:rsidR="00BD617B" w:rsidRPr="00C02BBE" w:rsidRDefault="00BD617B" w:rsidP="00300A39">
      <w:pPr>
        <w:shd w:val="clear" w:color="auto" w:fill="FFFFFF"/>
        <w:spacing w:after="120" w:line="360" w:lineRule="auto"/>
        <w:ind w:left="540"/>
        <w:jc w:val="both"/>
        <w:textAlignment w:val="baseline"/>
        <w:rPr>
          <w:sz w:val="24"/>
          <w:szCs w:val="24"/>
          <w:lang w:eastAsia="en-GB"/>
        </w:rPr>
      </w:pPr>
      <w:r w:rsidRPr="00C02BBE">
        <w:rPr>
          <w:sz w:val="24"/>
          <w:szCs w:val="24"/>
          <w:lang w:eastAsia="en-GB"/>
        </w:rPr>
        <w:t xml:space="preserve">A case series is likely to supply additional information that is missing or hard to assess in individual case reports. </w:t>
      </w:r>
      <w:r w:rsidR="0075207D">
        <w:rPr>
          <w:sz w:val="24"/>
          <w:szCs w:val="24"/>
          <w:lang w:eastAsia="en-GB"/>
        </w:rPr>
        <w:t>L</w:t>
      </w:r>
      <w:r w:rsidRPr="00C02BBE">
        <w:rPr>
          <w:sz w:val="24"/>
          <w:szCs w:val="24"/>
          <w:lang w:eastAsia="en-GB"/>
        </w:rPr>
        <w:t xml:space="preserve">ogical analysis is applied </w:t>
      </w:r>
      <w:r w:rsidR="0075207D">
        <w:rPr>
          <w:sz w:val="24"/>
          <w:szCs w:val="24"/>
          <w:lang w:eastAsia="en-GB"/>
        </w:rPr>
        <w:t>which</w:t>
      </w:r>
      <w:r w:rsidRPr="00C02BBE">
        <w:rPr>
          <w:sz w:val="24"/>
          <w:szCs w:val="24"/>
          <w:lang w:eastAsia="en-GB"/>
        </w:rPr>
        <w:t xml:space="preserve"> is a development from </w:t>
      </w:r>
      <w:r w:rsidR="0075207D">
        <w:rPr>
          <w:sz w:val="24"/>
          <w:szCs w:val="24"/>
          <w:lang w:eastAsia="en-GB"/>
        </w:rPr>
        <w:t xml:space="preserve">a </w:t>
      </w:r>
      <w:r w:rsidRPr="00C02BBE">
        <w:rPr>
          <w:sz w:val="24"/>
          <w:szCs w:val="24"/>
          <w:lang w:eastAsia="en-GB"/>
        </w:rPr>
        <w:t xml:space="preserve">single case assessment. However, it is important to first carry out </w:t>
      </w:r>
      <w:r w:rsidR="0075207D">
        <w:rPr>
          <w:sz w:val="24"/>
          <w:szCs w:val="24"/>
          <w:lang w:eastAsia="en-GB"/>
        </w:rPr>
        <w:t xml:space="preserve">a </w:t>
      </w:r>
      <w:r w:rsidRPr="00C02BBE">
        <w:rPr>
          <w:sz w:val="24"/>
          <w:szCs w:val="24"/>
          <w:lang w:eastAsia="en-GB"/>
        </w:rPr>
        <w:t>single case assessment of the reports in the case series.</w:t>
      </w:r>
    </w:p>
    <w:p w14:paraId="20DA4E74" w14:textId="6AD474CE" w:rsidR="00BD617B" w:rsidRPr="00C02BBE" w:rsidRDefault="00BD617B" w:rsidP="00300A39">
      <w:pPr>
        <w:shd w:val="clear" w:color="auto" w:fill="FFFFFF"/>
        <w:spacing w:after="120" w:line="360" w:lineRule="auto"/>
        <w:ind w:left="540"/>
        <w:jc w:val="both"/>
        <w:textAlignment w:val="baseline"/>
        <w:rPr>
          <w:sz w:val="24"/>
          <w:szCs w:val="24"/>
          <w:lang w:eastAsia="en-GB"/>
        </w:rPr>
      </w:pPr>
      <w:r w:rsidRPr="00C02BBE">
        <w:rPr>
          <w:sz w:val="24"/>
          <w:szCs w:val="24"/>
          <w:lang w:eastAsia="en-GB"/>
        </w:rPr>
        <w:t xml:space="preserve">A set of criteria </w:t>
      </w:r>
      <w:r w:rsidR="0075207D">
        <w:rPr>
          <w:sz w:val="24"/>
          <w:szCs w:val="24"/>
          <w:lang w:eastAsia="en-GB"/>
        </w:rPr>
        <w:t xml:space="preserve">was </w:t>
      </w:r>
      <w:r w:rsidRPr="00C02BBE">
        <w:rPr>
          <w:sz w:val="24"/>
          <w:szCs w:val="24"/>
          <w:lang w:eastAsia="en-GB"/>
        </w:rPr>
        <w:t>proposed</w:t>
      </w:r>
      <w:r w:rsidRPr="00A01E6D">
        <w:rPr>
          <w:sz w:val="24"/>
          <w:szCs w:val="24"/>
          <w:lang w:eastAsia="en-GB"/>
        </w:rPr>
        <w:t xml:space="preserve"> </w:t>
      </w:r>
      <w:r>
        <w:rPr>
          <w:sz w:val="24"/>
          <w:szCs w:val="24"/>
          <w:lang w:eastAsia="en-GB"/>
        </w:rPr>
        <w:t xml:space="preserve">by </w:t>
      </w:r>
      <w:r w:rsidRPr="00A01E6D">
        <w:rPr>
          <w:sz w:val="24"/>
          <w:szCs w:val="24"/>
          <w:lang w:eastAsia="en-GB"/>
        </w:rPr>
        <w:t>Sir Austen Bradford Hill</w:t>
      </w:r>
      <w:r>
        <w:rPr>
          <w:sz w:val="24"/>
          <w:szCs w:val="24"/>
          <w:lang w:eastAsia="en-GB"/>
        </w:rPr>
        <w:t xml:space="preserve"> </w:t>
      </w:r>
      <w:r w:rsidRPr="00C02BBE">
        <w:rPr>
          <w:sz w:val="24"/>
          <w:szCs w:val="24"/>
          <w:lang w:eastAsia="en-GB"/>
        </w:rPr>
        <w:t>to indicate in what circumstances an observed association between an exposure and an outcome could be considered a causal association. These criteria are applied most often to the findings from epidemiological studies; but, now it is also used for the causality assessment of case series.</w:t>
      </w:r>
    </w:p>
    <w:p w14:paraId="720078CD" w14:textId="77777777" w:rsidR="00BD617B" w:rsidRPr="00C02BBE" w:rsidRDefault="00BD617B" w:rsidP="00204052">
      <w:pPr>
        <w:shd w:val="clear" w:color="auto" w:fill="FFFFFF"/>
        <w:spacing w:after="120" w:line="360" w:lineRule="auto"/>
        <w:ind w:left="540"/>
        <w:jc w:val="both"/>
        <w:textAlignment w:val="baseline"/>
        <w:rPr>
          <w:sz w:val="24"/>
          <w:szCs w:val="24"/>
          <w:lang w:eastAsia="en-GB"/>
        </w:rPr>
      </w:pPr>
      <w:r w:rsidRPr="00C02BBE">
        <w:rPr>
          <w:sz w:val="24"/>
          <w:szCs w:val="24"/>
          <w:lang w:eastAsia="en-GB"/>
        </w:rPr>
        <w:t>The criteria are as under:</w:t>
      </w:r>
    </w:p>
    <w:p w14:paraId="17274750" w14:textId="77777777"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color w:val="000000"/>
          <w:sz w:val="24"/>
          <w:szCs w:val="24"/>
        </w:rPr>
      </w:pPr>
      <w:r w:rsidRPr="00177D4B">
        <w:rPr>
          <w:bCs/>
          <w:i/>
          <w:iCs/>
          <w:color w:val="000000"/>
          <w:sz w:val="24"/>
          <w:szCs w:val="24"/>
          <w:u w:val="single"/>
        </w:rPr>
        <w:t>Strength of Association</w:t>
      </w:r>
      <w:r w:rsidRPr="00C02BBE">
        <w:rPr>
          <w:bCs/>
          <w:color w:val="000000"/>
          <w:sz w:val="24"/>
          <w:szCs w:val="24"/>
          <w:u w:val="single"/>
        </w:rPr>
        <w:t>:</w:t>
      </w:r>
      <w:r w:rsidRPr="00C02BBE">
        <w:rPr>
          <w:sz w:val="24"/>
          <w:szCs w:val="24"/>
          <w:lang w:eastAsia="en-GB"/>
        </w:rPr>
        <w:t xml:space="preserve"> relates to the observed number of reports compared with the expected number. If observed reports are more than expected, then is there is disproportionality.</w:t>
      </w:r>
    </w:p>
    <w:p w14:paraId="58E77ED5" w14:textId="404BDFDA"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sz w:val="24"/>
          <w:szCs w:val="24"/>
          <w:bdr w:val="none" w:sz="0" w:space="0" w:color="auto" w:frame="1"/>
          <w:lang w:eastAsia="en-GB"/>
        </w:rPr>
      </w:pPr>
      <w:r w:rsidRPr="00177D4B">
        <w:rPr>
          <w:bCs/>
          <w:i/>
          <w:iCs/>
          <w:sz w:val="24"/>
          <w:szCs w:val="24"/>
          <w:u w:val="single"/>
          <w:bdr w:val="none" w:sz="0" w:space="0" w:color="auto" w:frame="1"/>
          <w:lang w:eastAsia="en-GB"/>
        </w:rPr>
        <w:t>Temporal relationship</w:t>
      </w:r>
      <w:r w:rsidRPr="00C02BBE">
        <w:rPr>
          <w:bCs/>
          <w:sz w:val="24"/>
          <w:szCs w:val="24"/>
          <w:u w:val="single"/>
          <w:bdr w:val="none" w:sz="0" w:space="0" w:color="auto" w:frame="1"/>
          <w:lang w:eastAsia="en-GB"/>
        </w:rPr>
        <w:t>:</w:t>
      </w:r>
      <w:r w:rsidRPr="00C02BBE">
        <w:rPr>
          <w:sz w:val="24"/>
          <w:szCs w:val="24"/>
          <w:bdr w:val="none" w:sz="0" w:space="0" w:color="auto" w:frame="1"/>
          <w:lang w:eastAsia="en-GB"/>
        </w:rPr>
        <w:t xml:space="preserve"> the event should commence after </w:t>
      </w:r>
      <w:r w:rsidR="0075207D">
        <w:rPr>
          <w:sz w:val="24"/>
          <w:szCs w:val="24"/>
          <w:bdr w:val="none" w:sz="0" w:space="0" w:color="auto" w:frame="1"/>
          <w:lang w:eastAsia="en-GB"/>
        </w:rPr>
        <w:t xml:space="preserve">the </w:t>
      </w:r>
      <w:r w:rsidRPr="00C02BBE">
        <w:rPr>
          <w:sz w:val="24"/>
          <w:szCs w:val="24"/>
          <w:bdr w:val="none" w:sz="0" w:space="0" w:color="auto" w:frame="1"/>
          <w:lang w:eastAsia="en-GB"/>
        </w:rPr>
        <w:t xml:space="preserve">drug was started and </w:t>
      </w:r>
      <w:r w:rsidR="0075207D" w:rsidRPr="00C02BBE">
        <w:rPr>
          <w:sz w:val="24"/>
          <w:szCs w:val="24"/>
          <w:bdr w:val="none" w:sz="0" w:space="0" w:color="auto" w:frame="1"/>
          <w:lang w:eastAsia="en-GB"/>
        </w:rPr>
        <w:t xml:space="preserve">fits </w:t>
      </w:r>
      <w:r w:rsidRPr="00C02BBE">
        <w:rPr>
          <w:sz w:val="24"/>
          <w:szCs w:val="24"/>
          <w:bdr w:val="none" w:sz="0" w:space="0" w:color="auto" w:frame="1"/>
          <w:lang w:eastAsia="en-GB"/>
        </w:rPr>
        <w:t xml:space="preserve">with </w:t>
      </w:r>
      <w:r w:rsidR="0075207D">
        <w:rPr>
          <w:sz w:val="24"/>
          <w:szCs w:val="24"/>
          <w:bdr w:val="none" w:sz="0" w:space="0" w:color="auto" w:frame="1"/>
          <w:lang w:eastAsia="en-GB"/>
        </w:rPr>
        <w:t xml:space="preserve">the </w:t>
      </w:r>
      <w:r w:rsidRPr="00C02BBE">
        <w:rPr>
          <w:sz w:val="24"/>
          <w:szCs w:val="24"/>
          <w:bdr w:val="none" w:sz="0" w:space="0" w:color="auto" w:frame="1"/>
          <w:lang w:eastAsia="en-GB"/>
        </w:rPr>
        <w:t>pharmacology of drug or host responses (Reasonable time to onset.)</w:t>
      </w:r>
    </w:p>
    <w:p w14:paraId="43F9A91D" w14:textId="761DACFD"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b/>
          <w:bCs/>
          <w:sz w:val="24"/>
          <w:szCs w:val="24"/>
          <w:lang w:eastAsia="en-GB"/>
        </w:rPr>
      </w:pPr>
      <w:r w:rsidRPr="00177D4B">
        <w:rPr>
          <w:bCs/>
          <w:i/>
          <w:iCs/>
          <w:sz w:val="24"/>
          <w:szCs w:val="24"/>
          <w:u w:val="single"/>
          <w:bdr w:val="none" w:sz="0" w:space="0" w:color="auto" w:frame="1"/>
          <w:lang w:eastAsia="en-GB"/>
        </w:rPr>
        <w:t>Consistency</w:t>
      </w:r>
      <w:r w:rsidRPr="00177D4B">
        <w:rPr>
          <w:i/>
          <w:iCs/>
          <w:sz w:val="24"/>
          <w:szCs w:val="24"/>
          <w:u w:val="single"/>
          <w:bdr w:val="none" w:sz="0" w:space="0" w:color="auto" w:frame="1"/>
          <w:lang w:eastAsia="en-GB"/>
        </w:rPr>
        <w:t>:</w:t>
      </w:r>
      <w:r w:rsidRPr="00C02BBE">
        <w:rPr>
          <w:sz w:val="24"/>
          <w:szCs w:val="24"/>
          <w:lang w:eastAsia="en-GB"/>
        </w:rPr>
        <w:t xml:space="preserve"> It means that reports are received from a range of reporters in </w:t>
      </w:r>
      <w:r w:rsidR="0075207D">
        <w:rPr>
          <w:sz w:val="24"/>
          <w:szCs w:val="24"/>
          <w:lang w:eastAsia="en-GB"/>
        </w:rPr>
        <w:t xml:space="preserve">the </w:t>
      </w:r>
      <w:r w:rsidRPr="00C02BBE">
        <w:rPr>
          <w:sz w:val="24"/>
          <w:szCs w:val="24"/>
          <w:lang w:eastAsia="en-GB"/>
        </w:rPr>
        <w:t xml:space="preserve">case of </w:t>
      </w:r>
      <w:r w:rsidR="0075207D" w:rsidRPr="00C02BBE">
        <w:rPr>
          <w:sz w:val="24"/>
          <w:szCs w:val="24"/>
          <w:lang w:eastAsia="en-GB"/>
        </w:rPr>
        <w:t xml:space="preserve">National </w:t>
      </w:r>
      <w:r w:rsidRPr="00C02BBE">
        <w:rPr>
          <w:sz w:val="24"/>
          <w:szCs w:val="24"/>
          <w:lang w:eastAsia="en-GB"/>
        </w:rPr>
        <w:t>database</w:t>
      </w:r>
      <w:r w:rsidR="0075207D">
        <w:rPr>
          <w:sz w:val="24"/>
          <w:szCs w:val="24"/>
          <w:lang w:eastAsia="en-GB"/>
        </w:rPr>
        <w:t>s</w:t>
      </w:r>
      <w:r w:rsidRPr="00C02BBE">
        <w:rPr>
          <w:sz w:val="24"/>
          <w:szCs w:val="24"/>
          <w:lang w:eastAsia="en-GB"/>
        </w:rPr>
        <w:t xml:space="preserve"> or, in international databases f</w:t>
      </w:r>
      <w:r w:rsidR="0075207D">
        <w:rPr>
          <w:sz w:val="24"/>
          <w:szCs w:val="24"/>
          <w:lang w:eastAsia="en-GB"/>
        </w:rPr>
        <w:t>ro</w:t>
      </w:r>
      <w:r w:rsidRPr="00C02BBE">
        <w:rPr>
          <w:sz w:val="24"/>
          <w:szCs w:val="24"/>
          <w:lang w:eastAsia="en-GB"/>
        </w:rPr>
        <w:t>m a range of countries.</w:t>
      </w:r>
    </w:p>
    <w:p w14:paraId="5BD9A16A" w14:textId="77777777"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b/>
          <w:bCs/>
          <w:sz w:val="24"/>
          <w:szCs w:val="24"/>
          <w:lang w:eastAsia="en-GB"/>
        </w:rPr>
      </w:pPr>
      <w:r w:rsidRPr="00177D4B">
        <w:rPr>
          <w:bCs/>
          <w:i/>
          <w:iCs/>
          <w:sz w:val="24"/>
          <w:szCs w:val="24"/>
          <w:u w:val="single"/>
          <w:bdr w:val="none" w:sz="0" w:space="0" w:color="auto" w:frame="1"/>
          <w:lang w:eastAsia="en-GB"/>
        </w:rPr>
        <w:t>Biologic plausibility</w:t>
      </w:r>
      <w:r w:rsidRPr="00177D4B">
        <w:rPr>
          <w:i/>
          <w:iCs/>
          <w:sz w:val="24"/>
          <w:szCs w:val="24"/>
          <w:u w:val="single"/>
          <w:bdr w:val="none" w:sz="0" w:space="0" w:color="auto" w:frame="1"/>
          <w:lang w:eastAsia="en-GB"/>
        </w:rPr>
        <w:t>:</w:t>
      </w:r>
      <w:r w:rsidRPr="00C02BBE">
        <w:rPr>
          <w:sz w:val="24"/>
          <w:szCs w:val="24"/>
          <w:lang w:eastAsia="en-GB"/>
        </w:rPr>
        <w:t xml:space="preserve"> biologic plausibility means that the suspected reaction fits in with what we know about the drug's actions.</w:t>
      </w:r>
      <w:r w:rsidRPr="00C02BBE">
        <w:rPr>
          <w:color w:val="000000" w:themeColor="text1"/>
          <w:sz w:val="24"/>
          <w:szCs w:val="24"/>
          <w:lang w:eastAsia="en-GB"/>
        </w:rPr>
        <w:t xml:space="preserve"> For </w:t>
      </w:r>
      <w:proofErr w:type="gramStart"/>
      <w:r w:rsidRPr="00C02BBE">
        <w:rPr>
          <w:color w:val="000000" w:themeColor="text1"/>
          <w:sz w:val="24"/>
          <w:szCs w:val="24"/>
          <w:lang w:eastAsia="en-GB"/>
        </w:rPr>
        <w:t>example</w:t>
      </w:r>
      <w:proofErr w:type="gramEnd"/>
      <w:r w:rsidRPr="00C02BBE">
        <w:rPr>
          <w:color w:val="000000" w:themeColor="text1"/>
          <w:sz w:val="24"/>
          <w:szCs w:val="24"/>
          <w:lang w:eastAsia="en-GB"/>
        </w:rPr>
        <w:t xml:space="preserve"> f a new drug is reported to cause urinary retention then it would be “biologically plausible” if it has some anticholinergic activity.</w:t>
      </w:r>
    </w:p>
    <w:p w14:paraId="47123E38" w14:textId="26D13565"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b/>
          <w:bCs/>
          <w:sz w:val="24"/>
          <w:szCs w:val="24"/>
          <w:lang w:eastAsia="en-GB"/>
        </w:rPr>
      </w:pPr>
      <w:r w:rsidRPr="00177D4B">
        <w:rPr>
          <w:bCs/>
          <w:i/>
          <w:iCs/>
          <w:sz w:val="24"/>
          <w:szCs w:val="24"/>
          <w:u w:val="single"/>
          <w:bdr w:val="none" w:sz="0" w:space="0" w:color="auto" w:frame="1"/>
          <w:lang w:eastAsia="en-GB"/>
        </w:rPr>
        <w:lastRenderedPageBreak/>
        <w:t>Coherence</w:t>
      </w:r>
      <w:r w:rsidRPr="00177D4B">
        <w:rPr>
          <w:i/>
          <w:iCs/>
          <w:sz w:val="24"/>
          <w:szCs w:val="24"/>
          <w:u w:val="single"/>
          <w:bdr w:val="none" w:sz="0" w:space="0" w:color="auto" w:frame="1"/>
          <w:lang w:eastAsia="en-GB"/>
        </w:rPr>
        <w:t>–</w:t>
      </w:r>
      <w:r w:rsidRPr="00C02BBE">
        <w:rPr>
          <w:sz w:val="24"/>
          <w:szCs w:val="24"/>
          <w:lang w:eastAsia="en-GB"/>
        </w:rPr>
        <w:t xml:space="preserve"> It means </w:t>
      </w:r>
      <w:r w:rsidR="0075207D">
        <w:rPr>
          <w:sz w:val="24"/>
          <w:szCs w:val="24"/>
          <w:lang w:eastAsia="en-GB"/>
        </w:rPr>
        <w:t xml:space="preserve">the </w:t>
      </w:r>
      <w:r w:rsidRPr="00C02BBE">
        <w:rPr>
          <w:sz w:val="24"/>
          <w:szCs w:val="24"/>
          <w:lang w:eastAsia="en-GB"/>
        </w:rPr>
        <w:t xml:space="preserve">suspected reaction fit with existing knowledge. For example, we know that furosemide can cause loss of potassium but could not retain it. </w:t>
      </w:r>
      <w:proofErr w:type="gramStart"/>
      <w:r w:rsidRPr="00C02BBE">
        <w:rPr>
          <w:sz w:val="24"/>
          <w:szCs w:val="24"/>
          <w:lang w:eastAsia="en-GB"/>
        </w:rPr>
        <w:t>So</w:t>
      </w:r>
      <w:proofErr w:type="gramEnd"/>
      <w:r w:rsidRPr="00C02BBE">
        <w:rPr>
          <w:sz w:val="24"/>
          <w:szCs w:val="24"/>
          <w:lang w:eastAsia="en-GB"/>
        </w:rPr>
        <w:t xml:space="preserve"> if someone has reported high blood potassium levels with furosemide, then there would be other cause</w:t>
      </w:r>
      <w:r w:rsidR="0075207D">
        <w:rPr>
          <w:sz w:val="24"/>
          <w:szCs w:val="24"/>
          <w:lang w:eastAsia="en-GB"/>
        </w:rPr>
        <w:t>s</w:t>
      </w:r>
      <w:r w:rsidRPr="00C02BBE">
        <w:rPr>
          <w:sz w:val="24"/>
          <w:szCs w:val="24"/>
          <w:lang w:eastAsia="en-GB"/>
        </w:rPr>
        <w:t xml:space="preserve"> of high potassium level</w:t>
      </w:r>
      <w:r w:rsidR="0075207D">
        <w:rPr>
          <w:sz w:val="24"/>
          <w:szCs w:val="24"/>
          <w:lang w:eastAsia="en-GB"/>
        </w:rPr>
        <w:t>s</w:t>
      </w:r>
      <w:r w:rsidRPr="00C02BBE">
        <w:rPr>
          <w:sz w:val="24"/>
          <w:szCs w:val="24"/>
          <w:lang w:eastAsia="en-GB"/>
        </w:rPr>
        <w:t>.  It would also not be coherent with existing knowledge for a drug that is not absorbed from the gastrointestinal tract to cause organ damage</w:t>
      </w:r>
    </w:p>
    <w:p w14:paraId="21E9B49A" w14:textId="1B3F8D3B"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b/>
          <w:bCs/>
          <w:sz w:val="24"/>
          <w:szCs w:val="24"/>
          <w:lang w:eastAsia="en-GB"/>
        </w:rPr>
      </w:pPr>
      <w:r w:rsidRPr="00177D4B">
        <w:rPr>
          <w:bCs/>
          <w:i/>
          <w:iCs/>
          <w:sz w:val="24"/>
          <w:szCs w:val="24"/>
          <w:u w:val="single"/>
          <w:bdr w:val="none" w:sz="0" w:space="0" w:color="auto" w:frame="1"/>
          <w:lang w:eastAsia="en-GB"/>
        </w:rPr>
        <w:t>Dose-response relationship</w:t>
      </w:r>
      <w:r w:rsidRPr="00C02BBE">
        <w:rPr>
          <w:sz w:val="24"/>
          <w:szCs w:val="24"/>
          <w:bdr w:val="none" w:sz="0" w:space="0" w:color="auto" w:frame="1"/>
          <w:lang w:eastAsia="en-GB"/>
        </w:rPr>
        <w:t xml:space="preserve">: Recovery of </w:t>
      </w:r>
      <w:r w:rsidR="0075207D">
        <w:rPr>
          <w:sz w:val="24"/>
          <w:szCs w:val="24"/>
          <w:bdr w:val="none" w:sz="0" w:space="0" w:color="auto" w:frame="1"/>
          <w:lang w:eastAsia="en-GB"/>
        </w:rPr>
        <w:t xml:space="preserve">an </w:t>
      </w:r>
      <w:r w:rsidRPr="00C02BBE">
        <w:rPr>
          <w:sz w:val="24"/>
          <w:szCs w:val="24"/>
          <w:bdr w:val="none" w:sz="0" w:space="0" w:color="auto" w:frame="1"/>
          <w:lang w:eastAsia="en-GB"/>
        </w:rPr>
        <w:t xml:space="preserve">event on dose decrease and </w:t>
      </w:r>
      <w:r w:rsidR="0075207D">
        <w:rPr>
          <w:sz w:val="24"/>
          <w:szCs w:val="24"/>
          <w:bdr w:val="none" w:sz="0" w:space="0" w:color="auto" w:frame="1"/>
          <w:lang w:eastAsia="en-GB"/>
        </w:rPr>
        <w:t xml:space="preserve">the </w:t>
      </w:r>
      <w:r w:rsidRPr="00C02BBE">
        <w:rPr>
          <w:sz w:val="24"/>
          <w:szCs w:val="24"/>
          <w:bdr w:val="none" w:sz="0" w:space="0" w:color="auto" w:frame="1"/>
          <w:lang w:eastAsia="en-GB"/>
        </w:rPr>
        <w:t xml:space="preserve">onset of </w:t>
      </w:r>
      <w:r w:rsidR="0075207D">
        <w:rPr>
          <w:sz w:val="24"/>
          <w:szCs w:val="24"/>
          <w:bdr w:val="none" w:sz="0" w:space="0" w:color="auto" w:frame="1"/>
          <w:lang w:eastAsia="en-GB"/>
        </w:rPr>
        <w:t xml:space="preserve">the </w:t>
      </w:r>
      <w:r w:rsidRPr="00C02BBE">
        <w:rPr>
          <w:sz w:val="24"/>
          <w:szCs w:val="24"/>
          <w:bdr w:val="none" w:sz="0" w:space="0" w:color="auto" w:frame="1"/>
          <w:lang w:eastAsia="en-GB"/>
        </w:rPr>
        <w:t>event on dose increased.</w:t>
      </w:r>
      <w:r w:rsidRPr="00C02BBE">
        <w:rPr>
          <w:sz w:val="24"/>
          <w:szCs w:val="24"/>
          <w:lang w:eastAsia="en-GB"/>
        </w:rPr>
        <w:t xml:space="preserve"> It </w:t>
      </w:r>
      <w:r w:rsidR="0075207D">
        <w:rPr>
          <w:sz w:val="24"/>
          <w:szCs w:val="24"/>
          <w:lang w:eastAsia="en-GB"/>
        </w:rPr>
        <w:t xml:space="preserve">is </w:t>
      </w:r>
      <w:r w:rsidRPr="00C02BBE">
        <w:rPr>
          <w:sz w:val="24"/>
          <w:szCs w:val="24"/>
          <w:lang w:eastAsia="en-GB"/>
        </w:rPr>
        <w:t>good evidence of causality but may not be observable in some situations</w:t>
      </w:r>
    </w:p>
    <w:p w14:paraId="1DC22BA6" w14:textId="3575D07B"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b/>
          <w:bCs/>
          <w:sz w:val="24"/>
          <w:szCs w:val="24"/>
          <w:lang w:eastAsia="en-GB"/>
        </w:rPr>
      </w:pPr>
      <w:r w:rsidRPr="00177D4B">
        <w:rPr>
          <w:bCs/>
          <w:i/>
          <w:iCs/>
          <w:sz w:val="24"/>
          <w:szCs w:val="24"/>
          <w:u w:val="single"/>
          <w:bdr w:val="none" w:sz="0" w:space="0" w:color="auto" w:frame="1"/>
          <w:lang w:eastAsia="en-GB"/>
        </w:rPr>
        <w:t>Specificity</w:t>
      </w:r>
      <w:r w:rsidRPr="00C02BBE">
        <w:rPr>
          <w:sz w:val="24"/>
          <w:szCs w:val="24"/>
          <w:u w:val="single"/>
          <w:bdr w:val="none" w:sz="0" w:space="0" w:color="auto" w:frame="1"/>
          <w:lang w:eastAsia="en-GB"/>
        </w:rPr>
        <w:t>:</w:t>
      </w:r>
      <w:r w:rsidRPr="00C02BBE">
        <w:rPr>
          <w:sz w:val="24"/>
          <w:szCs w:val="24"/>
          <w:bdr w:val="none" w:sz="0" w:space="0" w:color="auto" w:frame="1"/>
          <w:lang w:eastAsia="en-GB"/>
        </w:rPr>
        <w:t xml:space="preserve"> Specific ADR </w:t>
      </w:r>
      <w:r w:rsidR="0075207D">
        <w:rPr>
          <w:sz w:val="24"/>
          <w:szCs w:val="24"/>
          <w:bdr w:val="none" w:sz="0" w:space="0" w:color="auto" w:frame="1"/>
          <w:lang w:eastAsia="en-GB"/>
        </w:rPr>
        <w:t xml:space="preserve">is </w:t>
      </w:r>
      <w:r w:rsidRPr="00C02BBE">
        <w:rPr>
          <w:sz w:val="24"/>
          <w:szCs w:val="24"/>
          <w:bdr w:val="none" w:sz="0" w:space="0" w:color="auto" w:frame="1"/>
          <w:lang w:eastAsia="en-GB"/>
        </w:rPr>
        <w:t xml:space="preserve">not the cause of ADR. </w:t>
      </w:r>
      <w:r w:rsidRPr="00C02BBE">
        <w:rPr>
          <w:sz w:val="24"/>
          <w:szCs w:val="24"/>
          <w:lang w:eastAsia="en-GB"/>
        </w:rPr>
        <w:t>Many adverse reactions have multiple causes, for example</w:t>
      </w:r>
      <w:r w:rsidR="0075207D">
        <w:rPr>
          <w:sz w:val="24"/>
          <w:szCs w:val="24"/>
          <w:lang w:eastAsia="en-GB"/>
        </w:rPr>
        <w:t>,</w:t>
      </w:r>
      <w:r w:rsidRPr="00C02BBE">
        <w:rPr>
          <w:sz w:val="24"/>
          <w:szCs w:val="24"/>
          <w:lang w:eastAsia="en-GB"/>
        </w:rPr>
        <w:t xml:space="preserve"> headache, abdominal pain, </w:t>
      </w:r>
      <w:r w:rsidR="0075207D">
        <w:rPr>
          <w:sz w:val="24"/>
          <w:szCs w:val="24"/>
          <w:lang w:eastAsia="en-GB"/>
        </w:rPr>
        <w:t xml:space="preserve">and </w:t>
      </w:r>
      <w:r w:rsidRPr="00C02BBE">
        <w:rPr>
          <w:sz w:val="24"/>
          <w:szCs w:val="24"/>
          <w:lang w:eastAsia="en-GB"/>
        </w:rPr>
        <w:t>renal failure. Generally</w:t>
      </w:r>
      <w:r w:rsidR="0075207D">
        <w:rPr>
          <w:sz w:val="24"/>
          <w:szCs w:val="24"/>
          <w:lang w:eastAsia="en-GB"/>
        </w:rPr>
        <w:t>,</w:t>
      </w:r>
      <w:r w:rsidRPr="00C02BBE">
        <w:rPr>
          <w:sz w:val="24"/>
          <w:szCs w:val="24"/>
          <w:lang w:eastAsia="en-GB"/>
        </w:rPr>
        <w:t xml:space="preserve"> drugs cause ADRs through specific mechanisms so that an adverse reaction is more likely if a specific cause of the condition is reported such as interstitial nephritis occurring in the reports of renal failure.</w:t>
      </w:r>
    </w:p>
    <w:p w14:paraId="3D113F85" w14:textId="3A84094A" w:rsidR="00BD617B" w:rsidRPr="00C02BBE"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b/>
          <w:bCs/>
          <w:sz w:val="24"/>
          <w:szCs w:val="24"/>
          <w:lang w:eastAsia="en-GB"/>
        </w:rPr>
      </w:pPr>
      <w:r w:rsidRPr="00177D4B">
        <w:rPr>
          <w:bCs/>
          <w:i/>
          <w:iCs/>
          <w:sz w:val="24"/>
          <w:szCs w:val="24"/>
          <w:u w:val="single"/>
          <w:bdr w:val="none" w:sz="0" w:space="0" w:color="auto" w:frame="1"/>
          <w:lang w:eastAsia="en-GB"/>
        </w:rPr>
        <w:t>Experimental evidence</w:t>
      </w:r>
      <w:r w:rsidRPr="00177D4B">
        <w:rPr>
          <w:i/>
          <w:iCs/>
          <w:sz w:val="24"/>
          <w:szCs w:val="24"/>
          <w:bdr w:val="none" w:sz="0" w:space="0" w:color="auto" w:frame="1"/>
          <w:lang w:eastAsia="en-GB"/>
        </w:rPr>
        <w:t>:</w:t>
      </w:r>
      <w:r w:rsidRPr="00C02BBE">
        <w:rPr>
          <w:sz w:val="24"/>
          <w:szCs w:val="24"/>
          <w:lang w:eastAsia="en-GB"/>
        </w:rPr>
        <w:t xml:space="preserve"> Experimental evidence may be from previous animal or human studies. For example</w:t>
      </w:r>
      <w:r w:rsidR="0075207D">
        <w:rPr>
          <w:sz w:val="24"/>
          <w:szCs w:val="24"/>
          <w:lang w:eastAsia="en-GB"/>
        </w:rPr>
        <w:t>,</w:t>
      </w:r>
      <w:r w:rsidRPr="00C02BBE">
        <w:rPr>
          <w:sz w:val="24"/>
          <w:szCs w:val="24"/>
          <w:lang w:eastAsia="en-GB"/>
        </w:rPr>
        <w:t xml:space="preserve"> many drugs are now checked for prolonged QT interval</w:t>
      </w:r>
      <w:r w:rsidR="0075207D">
        <w:rPr>
          <w:sz w:val="24"/>
          <w:szCs w:val="24"/>
          <w:lang w:eastAsia="en-GB"/>
        </w:rPr>
        <w:t>s</w:t>
      </w:r>
      <w:r w:rsidRPr="00C02BBE">
        <w:rPr>
          <w:sz w:val="24"/>
          <w:szCs w:val="24"/>
          <w:lang w:eastAsia="en-GB"/>
        </w:rPr>
        <w:t>.</w:t>
      </w:r>
    </w:p>
    <w:p w14:paraId="00CD6552" w14:textId="19EDC328" w:rsidR="00BD617B" w:rsidRPr="00543328" w:rsidRDefault="00BD617B" w:rsidP="00B551AA">
      <w:pPr>
        <w:pStyle w:val="ListParagraph"/>
        <w:widowControl/>
        <w:numPr>
          <w:ilvl w:val="0"/>
          <w:numId w:val="54"/>
        </w:numPr>
        <w:shd w:val="clear" w:color="auto" w:fill="FFFFFF"/>
        <w:spacing w:after="120" w:line="360" w:lineRule="auto"/>
        <w:ind w:left="1080"/>
        <w:contextualSpacing w:val="0"/>
        <w:jc w:val="both"/>
        <w:textAlignment w:val="baseline"/>
        <w:rPr>
          <w:b/>
          <w:bCs/>
          <w:sz w:val="24"/>
          <w:szCs w:val="24"/>
          <w:lang w:eastAsia="en-GB"/>
        </w:rPr>
      </w:pPr>
      <w:r w:rsidRPr="00177D4B">
        <w:rPr>
          <w:bCs/>
          <w:i/>
          <w:iCs/>
          <w:sz w:val="24"/>
          <w:szCs w:val="24"/>
          <w:u w:val="single"/>
          <w:bdr w:val="none" w:sz="0" w:space="0" w:color="auto" w:frame="1"/>
          <w:lang w:eastAsia="en-GB"/>
        </w:rPr>
        <w:t>Analogy</w:t>
      </w:r>
      <w:r w:rsidRPr="00177D4B">
        <w:rPr>
          <w:i/>
          <w:iCs/>
          <w:sz w:val="24"/>
          <w:szCs w:val="24"/>
          <w:u w:val="single"/>
          <w:bdr w:val="none" w:sz="0" w:space="0" w:color="auto" w:frame="1"/>
          <w:lang w:eastAsia="en-GB"/>
        </w:rPr>
        <w:t>:</w:t>
      </w:r>
      <w:r w:rsidRPr="00C02BBE">
        <w:rPr>
          <w:sz w:val="24"/>
          <w:szCs w:val="24"/>
          <w:lang w:eastAsia="en-GB"/>
        </w:rPr>
        <w:t xml:space="preserve"> Analogy is when similar reactions have been observed with other members of the suspect drug's ATC group. For </w:t>
      </w:r>
      <w:r w:rsidR="0075207D">
        <w:rPr>
          <w:sz w:val="24"/>
          <w:szCs w:val="24"/>
          <w:lang w:eastAsia="en-GB"/>
        </w:rPr>
        <w:t>Example,</w:t>
      </w:r>
      <w:r w:rsidRPr="00C02BBE">
        <w:rPr>
          <w:sz w:val="24"/>
          <w:szCs w:val="24"/>
          <w:lang w:eastAsia="en-GB"/>
        </w:rPr>
        <w:t xml:space="preserve"> combined oral contraceptives and venous thrombosis; and angiotensin</w:t>
      </w:r>
      <w:r w:rsidR="0075207D">
        <w:rPr>
          <w:sz w:val="24"/>
          <w:szCs w:val="24"/>
          <w:lang w:eastAsia="en-GB"/>
        </w:rPr>
        <w:t>-</w:t>
      </w:r>
      <w:r w:rsidRPr="00C02BBE">
        <w:rPr>
          <w:sz w:val="24"/>
          <w:szCs w:val="24"/>
          <w:lang w:eastAsia="en-GB"/>
        </w:rPr>
        <w:t>converting enzyme (ACE) inhibitors and angioedema.</w:t>
      </w:r>
    </w:p>
    <w:p w14:paraId="62B4BBFA" w14:textId="2F1650D2" w:rsidR="00BD617B" w:rsidRPr="00543328" w:rsidRDefault="00BD617B" w:rsidP="004C22CE">
      <w:pPr>
        <w:spacing w:after="120" w:line="360" w:lineRule="auto"/>
        <w:jc w:val="both"/>
        <w:rPr>
          <w:b/>
          <w:bCs/>
          <w:color w:val="000000"/>
          <w:sz w:val="28"/>
          <w:szCs w:val="28"/>
        </w:rPr>
      </w:pPr>
      <w:r w:rsidRPr="00543328">
        <w:rPr>
          <w:b/>
          <w:bCs/>
          <w:color w:val="000000"/>
          <w:sz w:val="28"/>
          <w:szCs w:val="28"/>
        </w:rPr>
        <w:t xml:space="preserve">6.6 </w:t>
      </w:r>
      <w:r w:rsidRPr="00543328">
        <w:rPr>
          <w:b/>
          <w:bCs/>
          <w:color w:val="000000"/>
          <w:sz w:val="28"/>
          <w:szCs w:val="28"/>
          <w:u w:val="single"/>
        </w:rPr>
        <w:t xml:space="preserve">Causality </w:t>
      </w:r>
      <w:r w:rsidR="00746C91" w:rsidRPr="00543328">
        <w:rPr>
          <w:b/>
          <w:bCs/>
          <w:color w:val="000000"/>
          <w:sz w:val="28"/>
          <w:szCs w:val="28"/>
          <w:u w:val="single"/>
        </w:rPr>
        <w:t xml:space="preserve">assessment </w:t>
      </w:r>
      <w:r w:rsidRPr="00543328">
        <w:rPr>
          <w:b/>
          <w:bCs/>
          <w:color w:val="000000"/>
          <w:sz w:val="28"/>
          <w:szCs w:val="28"/>
          <w:u w:val="single"/>
        </w:rPr>
        <w:t xml:space="preserve">by </w:t>
      </w:r>
      <w:r w:rsidR="00746C91" w:rsidRPr="00543328">
        <w:rPr>
          <w:b/>
          <w:bCs/>
          <w:color w:val="000000"/>
          <w:sz w:val="28"/>
          <w:szCs w:val="28"/>
          <w:u w:val="single"/>
        </w:rPr>
        <w:t>each stakeholder</w:t>
      </w:r>
    </w:p>
    <w:p w14:paraId="0125682B" w14:textId="5A7484A8" w:rsidR="00177D4B" w:rsidRPr="00177D4B" w:rsidRDefault="00177D4B" w:rsidP="004C22CE">
      <w:pPr>
        <w:spacing w:after="120" w:line="360" w:lineRule="auto"/>
        <w:jc w:val="both"/>
        <w:rPr>
          <w:bCs/>
          <w:color w:val="000000"/>
          <w:sz w:val="24"/>
          <w:szCs w:val="24"/>
        </w:rPr>
      </w:pPr>
      <w:r w:rsidRPr="00177D4B">
        <w:rPr>
          <w:bCs/>
          <w:i/>
          <w:iCs/>
          <w:color w:val="000000"/>
          <w:sz w:val="24"/>
          <w:szCs w:val="24"/>
        </w:rPr>
        <w:t xml:space="preserve">6.6.1 </w:t>
      </w:r>
      <w:r w:rsidR="00BD617B" w:rsidRPr="00177D4B">
        <w:rPr>
          <w:bCs/>
          <w:i/>
          <w:iCs/>
          <w:color w:val="000000"/>
          <w:sz w:val="24"/>
          <w:szCs w:val="24"/>
        </w:rPr>
        <w:t>Healthcare Professionals</w:t>
      </w:r>
      <w:r w:rsidR="00BD617B" w:rsidRPr="00177D4B">
        <w:rPr>
          <w:bCs/>
          <w:color w:val="000000"/>
          <w:sz w:val="24"/>
          <w:szCs w:val="24"/>
        </w:rPr>
        <w:t xml:space="preserve"> </w:t>
      </w:r>
      <w:r w:rsidRPr="00177D4B">
        <w:rPr>
          <w:bCs/>
          <w:color w:val="000000"/>
          <w:sz w:val="24"/>
          <w:szCs w:val="24"/>
        </w:rPr>
        <w:t xml:space="preserve"> </w:t>
      </w:r>
    </w:p>
    <w:p w14:paraId="4A9C40B6" w14:textId="26540A8C" w:rsidR="00BD617B" w:rsidRPr="00C02BBE" w:rsidRDefault="00177D4B" w:rsidP="00E16733">
      <w:pPr>
        <w:spacing w:after="120" w:line="360" w:lineRule="auto"/>
        <w:ind w:left="540"/>
        <w:jc w:val="both"/>
        <w:rPr>
          <w:bCs/>
          <w:color w:val="000000"/>
          <w:sz w:val="24"/>
          <w:szCs w:val="24"/>
        </w:rPr>
      </w:pPr>
      <w:r w:rsidRPr="00C02BBE">
        <w:rPr>
          <w:bCs/>
          <w:color w:val="000000"/>
          <w:sz w:val="24"/>
          <w:szCs w:val="24"/>
        </w:rPr>
        <w:t xml:space="preserve">If </w:t>
      </w:r>
      <w:r w:rsidR="00BD617B" w:rsidRPr="00C02BBE">
        <w:rPr>
          <w:bCs/>
          <w:color w:val="000000"/>
          <w:sz w:val="24"/>
          <w:szCs w:val="24"/>
        </w:rPr>
        <w:t xml:space="preserve">trained, should perform the initial causality assessment of individual report either by WHO-UMC or Naranjo method, when submitting </w:t>
      </w:r>
      <w:r>
        <w:rPr>
          <w:bCs/>
          <w:color w:val="000000"/>
          <w:sz w:val="24"/>
          <w:szCs w:val="24"/>
        </w:rPr>
        <w:t xml:space="preserve">a </w:t>
      </w:r>
      <w:r w:rsidR="00BD617B" w:rsidRPr="00C02BBE">
        <w:rPr>
          <w:bCs/>
          <w:color w:val="000000"/>
          <w:sz w:val="24"/>
          <w:szCs w:val="24"/>
        </w:rPr>
        <w:t xml:space="preserve">report to NPC, PPCs or </w:t>
      </w:r>
      <w:r w:rsidRPr="00C02BBE">
        <w:rPr>
          <w:bCs/>
          <w:color w:val="000000"/>
          <w:sz w:val="24"/>
          <w:szCs w:val="24"/>
        </w:rPr>
        <w:t>registration holders</w:t>
      </w:r>
      <w:r>
        <w:rPr>
          <w:bCs/>
          <w:color w:val="000000"/>
          <w:sz w:val="24"/>
          <w:szCs w:val="24"/>
        </w:rPr>
        <w:t>.</w:t>
      </w:r>
    </w:p>
    <w:p w14:paraId="23673FAF" w14:textId="4997AA7E" w:rsidR="00177D4B" w:rsidRPr="00177D4B" w:rsidRDefault="00177D4B" w:rsidP="004C22CE">
      <w:pPr>
        <w:spacing w:after="120" w:line="360" w:lineRule="auto"/>
        <w:jc w:val="both"/>
        <w:rPr>
          <w:bCs/>
          <w:color w:val="000000"/>
          <w:sz w:val="24"/>
          <w:szCs w:val="24"/>
        </w:rPr>
      </w:pPr>
      <w:r w:rsidRPr="00177D4B">
        <w:rPr>
          <w:bCs/>
          <w:i/>
          <w:iCs/>
          <w:color w:val="000000"/>
          <w:sz w:val="24"/>
          <w:szCs w:val="24"/>
        </w:rPr>
        <w:t xml:space="preserve">6.6.2 </w:t>
      </w:r>
      <w:r w:rsidR="00BD617B" w:rsidRPr="00177D4B">
        <w:rPr>
          <w:bCs/>
          <w:i/>
          <w:iCs/>
          <w:color w:val="000000"/>
          <w:sz w:val="24"/>
          <w:szCs w:val="24"/>
        </w:rPr>
        <w:t>Hospital</w:t>
      </w:r>
    </w:p>
    <w:p w14:paraId="676B51B8" w14:textId="2329C7F2" w:rsidR="00BD617B" w:rsidRDefault="00BD617B" w:rsidP="00E16733">
      <w:pPr>
        <w:spacing w:after="120" w:line="360" w:lineRule="auto"/>
        <w:ind w:left="540"/>
        <w:jc w:val="both"/>
        <w:rPr>
          <w:bCs/>
          <w:color w:val="000000"/>
          <w:sz w:val="24"/>
          <w:szCs w:val="24"/>
        </w:rPr>
      </w:pPr>
      <w:r w:rsidRPr="00C02BBE">
        <w:rPr>
          <w:bCs/>
          <w:color w:val="000000"/>
          <w:sz w:val="24"/>
          <w:szCs w:val="24"/>
        </w:rPr>
        <w:t xml:space="preserve">Pharmacovigilance officers, at </w:t>
      </w:r>
      <w:r w:rsidR="00177D4B">
        <w:rPr>
          <w:bCs/>
          <w:color w:val="000000"/>
          <w:sz w:val="24"/>
          <w:szCs w:val="24"/>
        </w:rPr>
        <w:t xml:space="preserve">the </w:t>
      </w:r>
      <w:r w:rsidRPr="00C02BBE">
        <w:rPr>
          <w:bCs/>
          <w:color w:val="000000"/>
          <w:sz w:val="24"/>
          <w:szCs w:val="24"/>
        </w:rPr>
        <w:t>hospital</w:t>
      </w:r>
      <w:r w:rsidR="00177D4B">
        <w:rPr>
          <w:bCs/>
          <w:color w:val="000000"/>
          <w:sz w:val="24"/>
          <w:szCs w:val="24"/>
        </w:rPr>
        <w:t>,</w:t>
      </w:r>
      <w:r w:rsidRPr="00C02BBE">
        <w:rPr>
          <w:bCs/>
          <w:color w:val="000000"/>
          <w:sz w:val="24"/>
          <w:szCs w:val="24"/>
        </w:rPr>
        <w:t xml:space="preserve"> perform the initial causality assessment of AE</w:t>
      </w:r>
      <w:r w:rsidR="00177D4B">
        <w:rPr>
          <w:bCs/>
          <w:color w:val="000000"/>
          <w:sz w:val="24"/>
          <w:szCs w:val="24"/>
        </w:rPr>
        <w:t xml:space="preserve">s or </w:t>
      </w:r>
      <w:proofErr w:type="spellStart"/>
      <w:r w:rsidR="00177D4B">
        <w:rPr>
          <w:bCs/>
          <w:color w:val="000000"/>
          <w:sz w:val="24"/>
          <w:szCs w:val="24"/>
        </w:rPr>
        <w:t>AEFis</w:t>
      </w:r>
      <w:proofErr w:type="spellEnd"/>
      <w:r w:rsidRPr="00C02BBE">
        <w:rPr>
          <w:bCs/>
          <w:color w:val="000000"/>
          <w:sz w:val="24"/>
          <w:szCs w:val="24"/>
        </w:rPr>
        <w:t xml:space="preserve">. The causality assessment of each report is reviewed by </w:t>
      </w:r>
      <w:r w:rsidR="00177D4B">
        <w:rPr>
          <w:bCs/>
          <w:color w:val="000000"/>
          <w:sz w:val="24"/>
          <w:szCs w:val="24"/>
        </w:rPr>
        <w:t xml:space="preserve">the </w:t>
      </w:r>
      <w:r w:rsidRPr="00C02BBE">
        <w:rPr>
          <w:bCs/>
          <w:color w:val="000000"/>
          <w:sz w:val="24"/>
          <w:szCs w:val="24"/>
        </w:rPr>
        <w:t xml:space="preserve">pharmacovigilance committee by using </w:t>
      </w:r>
      <w:r w:rsidR="00177D4B">
        <w:rPr>
          <w:bCs/>
          <w:color w:val="000000"/>
          <w:sz w:val="24"/>
          <w:szCs w:val="24"/>
        </w:rPr>
        <w:t xml:space="preserve">the </w:t>
      </w:r>
      <w:r w:rsidRPr="00C02BBE">
        <w:rPr>
          <w:bCs/>
          <w:color w:val="000000"/>
          <w:sz w:val="24"/>
          <w:szCs w:val="24"/>
        </w:rPr>
        <w:t xml:space="preserve">WHO-UMC method. Subsequently, these reports are submitted to </w:t>
      </w:r>
      <w:r w:rsidRPr="00C02BBE">
        <w:rPr>
          <w:bCs/>
          <w:color w:val="000000"/>
          <w:sz w:val="24"/>
          <w:szCs w:val="24"/>
        </w:rPr>
        <w:lastRenderedPageBreak/>
        <w:t>PPCs.</w:t>
      </w:r>
    </w:p>
    <w:p w14:paraId="2EC0570F" w14:textId="6776F3AD" w:rsidR="00177D4B" w:rsidRPr="00177D4B" w:rsidRDefault="00177D4B" w:rsidP="00177D4B">
      <w:pPr>
        <w:spacing w:after="120" w:line="360" w:lineRule="auto"/>
        <w:jc w:val="both"/>
        <w:rPr>
          <w:bCs/>
          <w:i/>
          <w:iCs/>
          <w:color w:val="000000"/>
          <w:sz w:val="24"/>
          <w:szCs w:val="24"/>
        </w:rPr>
      </w:pPr>
      <w:r w:rsidRPr="00177D4B">
        <w:rPr>
          <w:bCs/>
          <w:i/>
          <w:iCs/>
          <w:color w:val="000000"/>
          <w:sz w:val="24"/>
          <w:szCs w:val="24"/>
        </w:rPr>
        <w:t>6.6.</w:t>
      </w:r>
      <w:r>
        <w:rPr>
          <w:bCs/>
          <w:i/>
          <w:iCs/>
          <w:color w:val="000000"/>
          <w:sz w:val="24"/>
          <w:szCs w:val="24"/>
        </w:rPr>
        <w:t>3</w:t>
      </w:r>
      <w:r w:rsidRPr="00177D4B">
        <w:rPr>
          <w:bCs/>
          <w:i/>
          <w:iCs/>
          <w:color w:val="000000"/>
          <w:sz w:val="24"/>
          <w:szCs w:val="24"/>
        </w:rPr>
        <w:t xml:space="preserve"> Public Health Programme </w:t>
      </w:r>
    </w:p>
    <w:p w14:paraId="14E84C35" w14:textId="0DB7C1C9" w:rsidR="00177D4B" w:rsidRPr="00177D4B" w:rsidRDefault="00177D4B" w:rsidP="00E16733">
      <w:pPr>
        <w:spacing w:after="120" w:line="360" w:lineRule="auto"/>
        <w:ind w:left="540"/>
        <w:jc w:val="both"/>
        <w:rPr>
          <w:sz w:val="24"/>
          <w:szCs w:val="24"/>
        </w:rPr>
      </w:pPr>
      <w:r w:rsidRPr="00C02BBE">
        <w:rPr>
          <w:bCs/>
          <w:color w:val="000000"/>
          <w:sz w:val="24"/>
          <w:szCs w:val="24"/>
        </w:rPr>
        <w:t xml:space="preserve">Perform the causality assessment as per </w:t>
      </w:r>
      <w:r>
        <w:rPr>
          <w:bCs/>
          <w:color w:val="000000"/>
          <w:sz w:val="24"/>
          <w:szCs w:val="24"/>
        </w:rPr>
        <w:t xml:space="preserve">the </w:t>
      </w:r>
      <w:r w:rsidRPr="00C02BBE">
        <w:rPr>
          <w:bCs/>
          <w:color w:val="000000"/>
          <w:sz w:val="24"/>
          <w:szCs w:val="24"/>
        </w:rPr>
        <w:t xml:space="preserve">WHO-UMC method. This is accordingly reviewed by </w:t>
      </w:r>
      <w:r w:rsidRPr="00C02BBE">
        <w:rPr>
          <w:sz w:val="24"/>
          <w:szCs w:val="24"/>
        </w:rPr>
        <w:t>Expert Safety Review Panel (ESRP) and submitted to NPC.</w:t>
      </w:r>
    </w:p>
    <w:p w14:paraId="036B1415" w14:textId="346E7CD5" w:rsidR="00177D4B" w:rsidRPr="00177D4B" w:rsidRDefault="00177D4B" w:rsidP="004C22CE">
      <w:pPr>
        <w:spacing w:after="120" w:line="360" w:lineRule="auto"/>
        <w:jc w:val="both"/>
        <w:rPr>
          <w:bCs/>
          <w:i/>
          <w:iCs/>
          <w:color w:val="000000"/>
          <w:sz w:val="24"/>
          <w:szCs w:val="24"/>
        </w:rPr>
      </w:pPr>
      <w:r w:rsidRPr="00177D4B">
        <w:rPr>
          <w:bCs/>
          <w:i/>
          <w:iCs/>
          <w:color w:val="000000"/>
          <w:sz w:val="24"/>
          <w:szCs w:val="24"/>
        </w:rPr>
        <w:t>6.6</w:t>
      </w:r>
      <w:r>
        <w:rPr>
          <w:bCs/>
          <w:i/>
          <w:iCs/>
          <w:color w:val="000000"/>
          <w:sz w:val="24"/>
          <w:szCs w:val="24"/>
        </w:rPr>
        <w:t>.4</w:t>
      </w:r>
      <w:r w:rsidRPr="00177D4B">
        <w:rPr>
          <w:bCs/>
          <w:i/>
          <w:iCs/>
          <w:color w:val="000000"/>
          <w:sz w:val="24"/>
          <w:szCs w:val="24"/>
        </w:rPr>
        <w:t xml:space="preserve"> </w:t>
      </w:r>
      <w:r w:rsidR="00BD617B" w:rsidRPr="00177D4B">
        <w:rPr>
          <w:bCs/>
          <w:i/>
          <w:iCs/>
          <w:color w:val="000000"/>
          <w:sz w:val="24"/>
          <w:szCs w:val="24"/>
        </w:rPr>
        <w:t xml:space="preserve">Provincial Pharmacovigilance Centre </w:t>
      </w:r>
    </w:p>
    <w:p w14:paraId="1B2AE440" w14:textId="46C5D540" w:rsidR="00BD617B" w:rsidRPr="00C02BBE" w:rsidRDefault="00BD617B" w:rsidP="0034784E">
      <w:pPr>
        <w:spacing w:after="120" w:line="360" w:lineRule="auto"/>
        <w:ind w:left="540"/>
        <w:jc w:val="both"/>
        <w:rPr>
          <w:bCs/>
          <w:color w:val="000000"/>
          <w:sz w:val="24"/>
          <w:szCs w:val="24"/>
        </w:rPr>
      </w:pPr>
      <w:r w:rsidRPr="00C02BBE">
        <w:rPr>
          <w:bCs/>
          <w:color w:val="000000"/>
          <w:sz w:val="24"/>
          <w:szCs w:val="24"/>
        </w:rPr>
        <w:t>Pharmacovigilance officer</w:t>
      </w:r>
      <w:r w:rsidR="00177D4B">
        <w:rPr>
          <w:bCs/>
          <w:color w:val="000000"/>
          <w:sz w:val="24"/>
          <w:szCs w:val="24"/>
        </w:rPr>
        <w:t>s</w:t>
      </w:r>
      <w:r w:rsidRPr="00C02BBE">
        <w:rPr>
          <w:bCs/>
          <w:color w:val="000000"/>
          <w:sz w:val="24"/>
          <w:szCs w:val="24"/>
        </w:rPr>
        <w:t xml:space="preserve"> perform the causality assessment of reports received directly from therapeutic goods’ sale points, HCPs and patient</w:t>
      </w:r>
      <w:r w:rsidR="00177D4B">
        <w:rPr>
          <w:bCs/>
          <w:color w:val="000000"/>
          <w:sz w:val="24"/>
          <w:szCs w:val="24"/>
        </w:rPr>
        <w:t>s</w:t>
      </w:r>
      <w:r w:rsidRPr="00C02BBE">
        <w:rPr>
          <w:bCs/>
          <w:color w:val="000000"/>
          <w:sz w:val="24"/>
          <w:szCs w:val="24"/>
        </w:rPr>
        <w:t xml:space="preserve">. Whereas, </w:t>
      </w:r>
      <w:r w:rsidR="00177D4B">
        <w:rPr>
          <w:bCs/>
          <w:color w:val="000000"/>
          <w:sz w:val="24"/>
          <w:szCs w:val="24"/>
        </w:rPr>
        <w:t xml:space="preserve">the </w:t>
      </w:r>
      <w:r w:rsidRPr="00C02BBE">
        <w:rPr>
          <w:bCs/>
          <w:color w:val="000000"/>
          <w:sz w:val="24"/>
          <w:szCs w:val="24"/>
        </w:rPr>
        <w:t>causality of reports received from hospital</w:t>
      </w:r>
      <w:r w:rsidR="00177D4B">
        <w:rPr>
          <w:bCs/>
          <w:color w:val="000000"/>
          <w:sz w:val="24"/>
          <w:szCs w:val="24"/>
        </w:rPr>
        <w:t>s</w:t>
      </w:r>
      <w:r w:rsidRPr="00C02BBE">
        <w:rPr>
          <w:bCs/>
          <w:color w:val="000000"/>
          <w:sz w:val="24"/>
          <w:szCs w:val="24"/>
        </w:rPr>
        <w:t xml:space="preserve"> is reviewed. Accordingly, it is reviewed by </w:t>
      </w:r>
      <w:r w:rsidR="00177D4B">
        <w:rPr>
          <w:bCs/>
          <w:color w:val="000000"/>
          <w:sz w:val="24"/>
          <w:szCs w:val="24"/>
        </w:rPr>
        <w:t xml:space="preserve">the </w:t>
      </w:r>
      <w:r w:rsidRPr="00C02BBE">
        <w:rPr>
          <w:bCs/>
          <w:color w:val="000000"/>
          <w:sz w:val="24"/>
          <w:szCs w:val="24"/>
        </w:rPr>
        <w:t xml:space="preserve">provincial pharmacovigilance committee and submitted to NPC. PPCs also perform the causality assessment of </w:t>
      </w:r>
      <w:r w:rsidR="00177D4B">
        <w:rPr>
          <w:bCs/>
          <w:color w:val="000000"/>
          <w:sz w:val="24"/>
          <w:szCs w:val="24"/>
        </w:rPr>
        <w:t xml:space="preserve">the </w:t>
      </w:r>
      <w:r w:rsidRPr="00C02BBE">
        <w:rPr>
          <w:bCs/>
          <w:color w:val="000000"/>
          <w:sz w:val="24"/>
          <w:szCs w:val="24"/>
        </w:rPr>
        <w:t>case series as per Bradford Hill Criteria.</w:t>
      </w:r>
    </w:p>
    <w:p w14:paraId="3403A48B" w14:textId="61A02E72" w:rsidR="00177D4B" w:rsidRPr="00177D4B" w:rsidRDefault="00177D4B" w:rsidP="002A7CF2">
      <w:pPr>
        <w:spacing w:after="120" w:line="360" w:lineRule="auto"/>
        <w:jc w:val="both"/>
        <w:rPr>
          <w:i/>
          <w:iCs/>
          <w:sz w:val="24"/>
          <w:szCs w:val="24"/>
          <w:u w:val="single"/>
        </w:rPr>
      </w:pPr>
      <w:r w:rsidRPr="00177D4B">
        <w:rPr>
          <w:i/>
          <w:iCs/>
          <w:sz w:val="24"/>
          <w:szCs w:val="24"/>
          <w:u w:val="single"/>
        </w:rPr>
        <w:t>6.6.5</w:t>
      </w:r>
      <w:r>
        <w:rPr>
          <w:i/>
          <w:iCs/>
          <w:sz w:val="24"/>
          <w:szCs w:val="24"/>
          <w:u w:val="single"/>
        </w:rPr>
        <w:t xml:space="preserve"> </w:t>
      </w:r>
      <w:r w:rsidR="00BD617B" w:rsidRPr="00177D4B">
        <w:rPr>
          <w:i/>
          <w:iCs/>
          <w:sz w:val="24"/>
          <w:szCs w:val="24"/>
          <w:u w:val="single"/>
        </w:rPr>
        <w:t>National Pharmacovigilance Centre:</w:t>
      </w:r>
    </w:p>
    <w:p w14:paraId="2AE89F9A" w14:textId="43A84DF3" w:rsidR="001C4C5C" w:rsidRDefault="00BD617B" w:rsidP="00CB7BD6">
      <w:pPr>
        <w:spacing w:after="120" w:line="360" w:lineRule="auto"/>
        <w:ind w:left="630"/>
        <w:jc w:val="both"/>
        <w:rPr>
          <w:sz w:val="24"/>
          <w:szCs w:val="24"/>
        </w:rPr>
      </w:pPr>
      <w:r w:rsidRPr="00C02BBE">
        <w:rPr>
          <w:sz w:val="24"/>
          <w:szCs w:val="24"/>
        </w:rPr>
        <w:t>At NPC causality assessment groups are constituted for different types of reports which consist of pharmacovigilance officers. Th</w:t>
      </w:r>
      <w:r w:rsidR="00E12BA6">
        <w:rPr>
          <w:sz w:val="24"/>
          <w:szCs w:val="24"/>
        </w:rPr>
        <w:t xml:space="preserve">ese </w:t>
      </w:r>
      <w:r w:rsidRPr="00C02BBE">
        <w:rPr>
          <w:sz w:val="24"/>
          <w:szCs w:val="24"/>
        </w:rPr>
        <w:t>group</w:t>
      </w:r>
      <w:r w:rsidR="00E12BA6">
        <w:rPr>
          <w:sz w:val="24"/>
          <w:szCs w:val="24"/>
        </w:rPr>
        <w:t>s</w:t>
      </w:r>
      <w:r w:rsidRPr="00C02BBE">
        <w:rPr>
          <w:sz w:val="24"/>
          <w:szCs w:val="24"/>
        </w:rPr>
        <w:t xml:space="preserve"> meet on weekly basis </w:t>
      </w:r>
      <w:r w:rsidR="00E12BA6">
        <w:rPr>
          <w:sz w:val="24"/>
          <w:szCs w:val="24"/>
        </w:rPr>
        <w:t xml:space="preserve">or when required, </w:t>
      </w:r>
      <w:r w:rsidRPr="00C02BBE">
        <w:rPr>
          <w:sz w:val="24"/>
          <w:szCs w:val="24"/>
        </w:rPr>
        <w:t xml:space="preserve">and perform the initial causality assessment of </w:t>
      </w:r>
      <w:r w:rsidR="00E12BA6" w:rsidRPr="00C02BBE">
        <w:rPr>
          <w:sz w:val="24"/>
          <w:szCs w:val="24"/>
        </w:rPr>
        <w:t>reports</w:t>
      </w:r>
      <w:r w:rsidR="00E12BA6" w:rsidRPr="00E12BA6">
        <w:rPr>
          <w:sz w:val="24"/>
          <w:szCs w:val="24"/>
        </w:rPr>
        <w:t xml:space="preserve"> </w:t>
      </w:r>
      <w:r w:rsidR="00E12BA6" w:rsidRPr="00C02BBE">
        <w:rPr>
          <w:sz w:val="24"/>
          <w:szCs w:val="24"/>
        </w:rPr>
        <w:t xml:space="preserve">received </w:t>
      </w:r>
      <w:r w:rsidRPr="00C02BBE">
        <w:rPr>
          <w:sz w:val="24"/>
          <w:szCs w:val="24"/>
        </w:rPr>
        <w:t>directly</w:t>
      </w:r>
      <w:r w:rsidR="00E12BA6">
        <w:rPr>
          <w:sz w:val="24"/>
          <w:szCs w:val="24"/>
        </w:rPr>
        <w:t xml:space="preserve"> from HCPs and patients </w:t>
      </w:r>
      <w:r w:rsidRPr="00C02BBE">
        <w:rPr>
          <w:sz w:val="24"/>
          <w:szCs w:val="24"/>
        </w:rPr>
        <w:t xml:space="preserve">and reviewed the causality of reports received from PPCs, PHPs and registration holders. </w:t>
      </w:r>
      <w:r w:rsidR="00E12BA6">
        <w:rPr>
          <w:sz w:val="24"/>
          <w:szCs w:val="24"/>
        </w:rPr>
        <w:t xml:space="preserve">The </w:t>
      </w:r>
      <w:r w:rsidRPr="00C02BBE">
        <w:rPr>
          <w:sz w:val="24"/>
          <w:szCs w:val="24"/>
        </w:rPr>
        <w:t xml:space="preserve">NPC also perform the causality assessment of </w:t>
      </w:r>
      <w:r w:rsidR="00E12BA6">
        <w:rPr>
          <w:sz w:val="24"/>
          <w:szCs w:val="24"/>
        </w:rPr>
        <w:t xml:space="preserve">the </w:t>
      </w:r>
      <w:r w:rsidRPr="00C02BBE">
        <w:rPr>
          <w:sz w:val="24"/>
          <w:szCs w:val="24"/>
        </w:rPr>
        <w:t xml:space="preserve">case series as per Bradford Hill criteria. Once done, the reports are then transferred to WHO-UMC </w:t>
      </w:r>
      <w:proofErr w:type="spellStart"/>
      <w:r w:rsidRPr="00C02BBE">
        <w:rPr>
          <w:sz w:val="24"/>
          <w:szCs w:val="24"/>
        </w:rPr>
        <w:t>VigiBase</w:t>
      </w:r>
      <w:proofErr w:type="spellEnd"/>
      <w:r w:rsidRPr="00C02BBE">
        <w:rPr>
          <w:sz w:val="24"/>
          <w:szCs w:val="24"/>
        </w:rPr>
        <w:t xml:space="preserve"> (Global database).</w:t>
      </w:r>
    </w:p>
    <w:p w14:paraId="52E7CC3E" w14:textId="31A0D419" w:rsidR="002A7CF2" w:rsidRPr="002A7CF2" w:rsidRDefault="001C4C5C" w:rsidP="002A7CF2">
      <w:pPr>
        <w:spacing w:after="120" w:line="360" w:lineRule="auto"/>
        <w:jc w:val="both"/>
        <w:rPr>
          <w:b/>
          <w:bCs/>
          <w:sz w:val="28"/>
          <w:szCs w:val="28"/>
          <w:u w:val="single"/>
        </w:rPr>
      </w:pPr>
      <w:r w:rsidRPr="0034784E">
        <w:rPr>
          <w:b/>
          <w:bCs/>
          <w:sz w:val="28"/>
          <w:szCs w:val="28"/>
        </w:rPr>
        <w:t>6.7</w:t>
      </w:r>
      <w:r w:rsidR="002A7CF2" w:rsidRPr="0034784E">
        <w:rPr>
          <w:b/>
          <w:bCs/>
          <w:sz w:val="28"/>
          <w:szCs w:val="28"/>
        </w:rPr>
        <w:t xml:space="preserve"> </w:t>
      </w:r>
      <w:r w:rsidR="002A7CF2" w:rsidRPr="002A7CF2">
        <w:rPr>
          <w:b/>
          <w:bCs/>
          <w:sz w:val="28"/>
          <w:szCs w:val="28"/>
          <w:u w:val="single"/>
        </w:rPr>
        <w:t xml:space="preserve">Assessment of </w:t>
      </w:r>
      <w:r w:rsidR="008573E9" w:rsidRPr="002A7CF2">
        <w:rPr>
          <w:b/>
          <w:bCs/>
          <w:sz w:val="28"/>
          <w:szCs w:val="28"/>
          <w:u w:val="single"/>
        </w:rPr>
        <w:t>medication errors</w:t>
      </w:r>
      <w:r w:rsidR="002A7CF2" w:rsidRPr="002A7CF2">
        <w:rPr>
          <w:b/>
          <w:bCs/>
          <w:sz w:val="28"/>
          <w:szCs w:val="28"/>
          <w:u w:val="single"/>
        </w:rPr>
        <w:t xml:space="preserve">/ </w:t>
      </w:r>
      <w:r w:rsidR="008573E9" w:rsidRPr="002A7CF2">
        <w:rPr>
          <w:b/>
          <w:bCs/>
          <w:sz w:val="28"/>
          <w:szCs w:val="28"/>
          <w:u w:val="single"/>
        </w:rPr>
        <w:t>near miss</w:t>
      </w:r>
      <w:r w:rsidR="002A7CF2" w:rsidRPr="002A7CF2">
        <w:rPr>
          <w:b/>
          <w:bCs/>
          <w:sz w:val="28"/>
          <w:szCs w:val="28"/>
          <w:u w:val="single"/>
        </w:rPr>
        <w:t>.</w:t>
      </w:r>
    </w:p>
    <w:p w14:paraId="72B29479" w14:textId="77777777" w:rsidR="002A7CF2" w:rsidRPr="008B7969" w:rsidRDefault="002A7CF2" w:rsidP="002A7CF2">
      <w:pPr>
        <w:tabs>
          <w:tab w:val="left" w:pos="720"/>
        </w:tabs>
        <w:spacing w:before="120" w:after="120" w:line="360" w:lineRule="auto"/>
        <w:ind w:left="720"/>
        <w:jc w:val="both"/>
        <w:rPr>
          <w:sz w:val="24"/>
          <w:szCs w:val="24"/>
        </w:rPr>
      </w:pPr>
      <w:r w:rsidRPr="008B7969">
        <w:rPr>
          <w:sz w:val="24"/>
          <w:szCs w:val="24"/>
        </w:rPr>
        <w:t xml:space="preserve">Quality </w:t>
      </w:r>
      <w:r>
        <w:rPr>
          <w:sz w:val="24"/>
          <w:szCs w:val="24"/>
        </w:rPr>
        <w:t>i</w:t>
      </w:r>
      <w:r w:rsidRPr="008B7969">
        <w:rPr>
          <w:sz w:val="24"/>
          <w:szCs w:val="24"/>
        </w:rPr>
        <w:t xml:space="preserve">mprovement &amp; patient safety programs within healthcare organizations must include mechanisms for reporting medication errors, examining and evaluating causes of errors, </w:t>
      </w:r>
      <w:proofErr w:type="spellStart"/>
      <w:r w:rsidRPr="008B7969">
        <w:rPr>
          <w:sz w:val="24"/>
          <w:szCs w:val="24"/>
        </w:rPr>
        <w:t>analyzing</w:t>
      </w:r>
      <w:proofErr w:type="spellEnd"/>
      <w:r w:rsidRPr="008B7969">
        <w:rPr>
          <w:sz w:val="24"/>
          <w:szCs w:val="24"/>
        </w:rPr>
        <w:t xml:space="preserve"> aggregate data to determine trends and making necessary changes within their healthcare delivery system to prevent errors from occurring.</w:t>
      </w:r>
    </w:p>
    <w:p w14:paraId="47F6E962" w14:textId="77777777" w:rsidR="002A7CF2" w:rsidRDefault="002A7CF2" w:rsidP="002A7CF2">
      <w:pPr>
        <w:tabs>
          <w:tab w:val="left" w:pos="720"/>
        </w:tabs>
        <w:spacing w:before="120" w:after="120" w:line="360" w:lineRule="auto"/>
        <w:ind w:left="720"/>
        <w:jc w:val="both"/>
        <w:rPr>
          <w:sz w:val="24"/>
          <w:szCs w:val="24"/>
        </w:rPr>
      </w:pPr>
      <w:r w:rsidRPr="008B7969">
        <w:rPr>
          <w:sz w:val="24"/>
          <w:szCs w:val="24"/>
        </w:rPr>
        <w:t>Timely analysis of the medication error reports from clinical settings could identify opportunities for quality improvement and system changes</w:t>
      </w:r>
      <w:r>
        <w:rPr>
          <w:sz w:val="24"/>
          <w:szCs w:val="24"/>
        </w:rPr>
        <w:t>.</w:t>
      </w:r>
      <w:r w:rsidRPr="008B7969">
        <w:rPr>
          <w:sz w:val="24"/>
          <w:szCs w:val="24"/>
        </w:rPr>
        <w:t xml:space="preserve"> In general, there are two steps for error analysis, </w:t>
      </w:r>
    </w:p>
    <w:p w14:paraId="66641F27" w14:textId="77777777" w:rsidR="002A7CF2" w:rsidRPr="008B7969" w:rsidRDefault="002A7CF2" w:rsidP="00B551AA">
      <w:pPr>
        <w:pStyle w:val="ListParagraph"/>
        <w:numPr>
          <w:ilvl w:val="0"/>
          <w:numId w:val="65"/>
        </w:numPr>
        <w:spacing w:before="120" w:after="120" w:line="360" w:lineRule="auto"/>
        <w:ind w:left="1890"/>
        <w:jc w:val="both"/>
        <w:rPr>
          <w:sz w:val="24"/>
          <w:szCs w:val="24"/>
        </w:rPr>
      </w:pPr>
      <w:r>
        <w:rPr>
          <w:sz w:val="24"/>
          <w:szCs w:val="24"/>
        </w:rPr>
        <w:t>The f</w:t>
      </w:r>
      <w:r w:rsidRPr="008B7969">
        <w:rPr>
          <w:sz w:val="24"/>
          <w:szCs w:val="24"/>
        </w:rPr>
        <w:t xml:space="preserve">irst is to identify individual problems and deficiencies in an event that can lead to the </w:t>
      </w:r>
      <w:r w:rsidRPr="00FF6697">
        <w:rPr>
          <w:sz w:val="24"/>
          <w:szCs w:val="24"/>
        </w:rPr>
        <w:t>error</w:t>
      </w:r>
      <w:r>
        <w:rPr>
          <w:sz w:val="24"/>
          <w:szCs w:val="24"/>
        </w:rPr>
        <w:t>; and</w:t>
      </w:r>
    </w:p>
    <w:p w14:paraId="2A0C111B" w14:textId="77777777" w:rsidR="002A7CF2" w:rsidRDefault="002A7CF2" w:rsidP="00B551AA">
      <w:pPr>
        <w:pStyle w:val="ListParagraph"/>
        <w:numPr>
          <w:ilvl w:val="0"/>
          <w:numId w:val="65"/>
        </w:numPr>
        <w:spacing w:before="120" w:after="120" w:line="360" w:lineRule="auto"/>
        <w:ind w:left="1890"/>
        <w:jc w:val="both"/>
        <w:rPr>
          <w:sz w:val="24"/>
          <w:szCs w:val="24"/>
        </w:rPr>
      </w:pPr>
      <w:r>
        <w:rPr>
          <w:sz w:val="24"/>
          <w:szCs w:val="24"/>
        </w:rPr>
        <w:t>The s</w:t>
      </w:r>
      <w:r w:rsidRPr="008B7969">
        <w:rPr>
          <w:sz w:val="24"/>
          <w:szCs w:val="24"/>
        </w:rPr>
        <w:t xml:space="preserve">econd is to </w:t>
      </w:r>
      <w:proofErr w:type="spellStart"/>
      <w:r w:rsidRPr="008B7969">
        <w:rPr>
          <w:sz w:val="24"/>
          <w:szCs w:val="24"/>
        </w:rPr>
        <w:t>analyze</w:t>
      </w:r>
      <w:proofErr w:type="spellEnd"/>
      <w:r w:rsidRPr="008B7969">
        <w:rPr>
          <w:sz w:val="24"/>
          <w:szCs w:val="24"/>
        </w:rPr>
        <w:t xml:space="preserve"> the defective design of the system</w:t>
      </w:r>
      <w:r>
        <w:rPr>
          <w:sz w:val="24"/>
          <w:szCs w:val="24"/>
        </w:rPr>
        <w:t>.</w:t>
      </w:r>
    </w:p>
    <w:p w14:paraId="2BF90EE7" w14:textId="77777777" w:rsidR="002A7CF2" w:rsidRPr="008B7969" w:rsidRDefault="002A7CF2" w:rsidP="002A7CF2">
      <w:pPr>
        <w:spacing w:before="120" w:after="120" w:line="360" w:lineRule="auto"/>
        <w:ind w:left="720"/>
        <w:jc w:val="both"/>
        <w:rPr>
          <w:sz w:val="24"/>
          <w:szCs w:val="24"/>
        </w:rPr>
      </w:pPr>
      <w:r w:rsidRPr="008B7969">
        <w:rPr>
          <w:sz w:val="24"/>
          <w:szCs w:val="24"/>
        </w:rPr>
        <w:lastRenderedPageBreak/>
        <w:t>Institute for Safe Medication Practices (ISMP) emphasizes that the cause of a medication error is rarely the fault of a single person practi</w:t>
      </w:r>
      <w:r>
        <w:rPr>
          <w:sz w:val="24"/>
          <w:szCs w:val="24"/>
        </w:rPr>
        <w:t>s</w:t>
      </w:r>
      <w:r w:rsidRPr="008B7969">
        <w:rPr>
          <w:sz w:val="24"/>
          <w:szCs w:val="24"/>
        </w:rPr>
        <w:t>ing within the vast and complex medication-use process. Rather, medication errors are often the result of a breakdown of at least 1 of 10 key elements that affect medication use. These key elements are interrelated subprocesses of the 5 core steps in the medication-use process i.e.: medication prescribing, order processing, dispensing, administration, and monitoring.</w:t>
      </w:r>
    </w:p>
    <w:p w14:paraId="0CBD8272" w14:textId="77777777" w:rsidR="002A7CF2" w:rsidRPr="008B7969" w:rsidRDefault="002A7CF2" w:rsidP="002A7CF2">
      <w:pPr>
        <w:spacing w:before="120" w:after="120" w:line="360" w:lineRule="auto"/>
        <w:ind w:left="720"/>
        <w:jc w:val="both"/>
        <w:rPr>
          <w:sz w:val="24"/>
          <w:szCs w:val="24"/>
        </w:rPr>
      </w:pPr>
      <w:r w:rsidRPr="008B7969">
        <w:rPr>
          <w:sz w:val="24"/>
          <w:szCs w:val="24"/>
        </w:rPr>
        <w:t>When performing a root cause analysis, the following 10 key elements that affect the core medication use steps should be thoroughly evaluated to determine the cause of the error:</w:t>
      </w:r>
    </w:p>
    <w:p w14:paraId="5D4210AD"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Patient information</w:t>
      </w:r>
      <w:r w:rsidRPr="008B7969">
        <w:rPr>
          <w:sz w:val="24"/>
          <w:szCs w:val="24"/>
        </w:rPr>
        <w:t xml:space="preserve"> that is accessible and accurate</w:t>
      </w:r>
      <w:r>
        <w:rPr>
          <w:sz w:val="24"/>
          <w:szCs w:val="24"/>
        </w:rPr>
        <w:t xml:space="preserve"> (e.g. demographics, lab reports, history etc.).</w:t>
      </w:r>
    </w:p>
    <w:p w14:paraId="4A869EB4"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Drug information</w:t>
      </w:r>
      <w:r w:rsidRPr="008B7969">
        <w:rPr>
          <w:sz w:val="24"/>
          <w:szCs w:val="24"/>
        </w:rPr>
        <w:t xml:space="preserve"> that is accessible, accurate, and usable</w:t>
      </w:r>
      <w:r>
        <w:rPr>
          <w:sz w:val="24"/>
          <w:szCs w:val="24"/>
        </w:rPr>
        <w:t xml:space="preserve"> (e.g. information on how to safely order, dispense, administer a drug and monitor its effects).</w:t>
      </w:r>
    </w:p>
    <w:p w14:paraId="298341C6"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Communication</w:t>
      </w:r>
      <w:r w:rsidRPr="008B7969">
        <w:rPr>
          <w:sz w:val="24"/>
          <w:szCs w:val="24"/>
        </w:rPr>
        <w:t xml:space="preserve"> between providers that is consistent and not complicated</w:t>
      </w:r>
      <w:r>
        <w:rPr>
          <w:sz w:val="24"/>
          <w:szCs w:val="24"/>
        </w:rPr>
        <w:t xml:space="preserve"> (e.g. medication information communicated during hand-offs between shifts or when the patient is transferred or discharged).</w:t>
      </w:r>
    </w:p>
    <w:p w14:paraId="2B7F0F5D"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Drug labe</w:t>
      </w:r>
      <w:r>
        <w:rPr>
          <w:b/>
          <w:sz w:val="24"/>
          <w:szCs w:val="24"/>
        </w:rPr>
        <w:t>l</w:t>
      </w:r>
      <w:r w:rsidRPr="008B7969">
        <w:rPr>
          <w:b/>
          <w:sz w:val="24"/>
          <w:szCs w:val="24"/>
        </w:rPr>
        <w:t>ling and packaging</w:t>
      </w:r>
      <w:r w:rsidRPr="008B7969">
        <w:rPr>
          <w:sz w:val="24"/>
          <w:szCs w:val="24"/>
        </w:rPr>
        <w:t xml:space="preserve"> that facilitates safety and the consistent use of appropriate nomenclature</w:t>
      </w:r>
      <w:r>
        <w:rPr>
          <w:sz w:val="24"/>
          <w:szCs w:val="24"/>
        </w:rPr>
        <w:t xml:space="preserve"> (e.g. products that are look-alike or sound-alike – LASA).</w:t>
      </w:r>
    </w:p>
    <w:p w14:paraId="447D32BC"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Drug storage and stock</w:t>
      </w:r>
      <w:r w:rsidRPr="008B7969">
        <w:rPr>
          <w:sz w:val="24"/>
          <w:szCs w:val="24"/>
        </w:rPr>
        <w:t xml:space="preserve"> that facilitates appropriate distribution with standardized drug concentrations</w:t>
      </w:r>
      <w:r>
        <w:rPr>
          <w:sz w:val="24"/>
          <w:szCs w:val="24"/>
        </w:rPr>
        <w:t xml:space="preserve"> </w:t>
      </w:r>
      <w:r w:rsidRPr="00FF6526">
        <w:rPr>
          <w:sz w:val="24"/>
          <w:szCs w:val="24"/>
        </w:rPr>
        <w:t>and administration times</w:t>
      </w:r>
      <w:r>
        <w:rPr>
          <w:sz w:val="24"/>
          <w:szCs w:val="24"/>
        </w:rPr>
        <w:t>.</w:t>
      </w:r>
      <w:r w:rsidRPr="008B7969">
        <w:rPr>
          <w:sz w:val="24"/>
          <w:szCs w:val="24"/>
        </w:rPr>
        <w:t xml:space="preserve"> </w:t>
      </w:r>
    </w:p>
    <w:p w14:paraId="121028DF"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Drug device acquisition</w:t>
      </w:r>
      <w:r>
        <w:rPr>
          <w:b/>
          <w:sz w:val="24"/>
          <w:szCs w:val="24"/>
        </w:rPr>
        <w:t>:</w:t>
      </w:r>
      <w:r w:rsidRPr="008B7969">
        <w:rPr>
          <w:sz w:val="24"/>
          <w:szCs w:val="24"/>
        </w:rPr>
        <w:t xml:space="preserve"> methods that ensure proper use and monitoring</w:t>
      </w:r>
      <w:r>
        <w:rPr>
          <w:sz w:val="24"/>
          <w:szCs w:val="24"/>
        </w:rPr>
        <w:t xml:space="preserve"> (e.g. infusion pumps, syringe pumps etc used for administration of medicines).</w:t>
      </w:r>
    </w:p>
    <w:p w14:paraId="10FCACEF"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Work environments</w:t>
      </w:r>
      <w:r>
        <w:rPr>
          <w:b/>
          <w:sz w:val="24"/>
          <w:szCs w:val="24"/>
        </w:rPr>
        <w:t>:</w:t>
      </w:r>
      <w:r w:rsidRPr="008B7969">
        <w:rPr>
          <w:sz w:val="24"/>
          <w:szCs w:val="24"/>
        </w:rPr>
        <w:t xml:space="preserve"> that provide an appropriate workload and limit unfavo</w:t>
      </w:r>
      <w:r>
        <w:rPr>
          <w:sz w:val="24"/>
          <w:szCs w:val="24"/>
        </w:rPr>
        <w:t>u</w:t>
      </w:r>
      <w:r w:rsidRPr="008B7969">
        <w:rPr>
          <w:sz w:val="24"/>
          <w:szCs w:val="24"/>
        </w:rPr>
        <w:t>rable conditions such as poor lighting, noise, and interruptions</w:t>
      </w:r>
      <w:r>
        <w:rPr>
          <w:sz w:val="24"/>
          <w:szCs w:val="24"/>
        </w:rPr>
        <w:t>.</w:t>
      </w:r>
    </w:p>
    <w:p w14:paraId="48830FF6" w14:textId="77777777" w:rsidR="002A7CF2" w:rsidRPr="008B7969"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Staff competency</w:t>
      </w:r>
      <w:r w:rsidRPr="008B7969">
        <w:rPr>
          <w:sz w:val="24"/>
          <w:szCs w:val="24"/>
        </w:rPr>
        <w:t xml:space="preserve"> </w:t>
      </w:r>
      <w:r>
        <w:rPr>
          <w:sz w:val="24"/>
          <w:szCs w:val="24"/>
        </w:rPr>
        <w:t xml:space="preserve">That </w:t>
      </w:r>
      <w:r w:rsidRPr="008B7969">
        <w:rPr>
          <w:sz w:val="24"/>
          <w:szCs w:val="24"/>
        </w:rPr>
        <w:t>is assessed and can be improved with opportunities for continuing education</w:t>
      </w:r>
      <w:r>
        <w:rPr>
          <w:sz w:val="24"/>
          <w:szCs w:val="24"/>
        </w:rPr>
        <w:t>.</w:t>
      </w:r>
    </w:p>
    <w:p w14:paraId="623ED4D3" w14:textId="77777777" w:rsidR="002A7CF2" w:rsidRDefault="002A7CF2" w:rsidP="00B551AA">
      <w:pPr>
        <w:pStyle w:val="ListParagraph"/>
        <w:numPr>
          <w:ilvl w:val="0"/>
          <w:numId w:val="66"/>
        </w:numPr>
        <w:spacing w:before="120" w:after="120" w:line="360" w:lineRule="auto"/>
        <w:ind w:left="1800" w:hanging="450"/>
        <w:jc w:val="both"/>
        <w:rPr>
          <w:sz w:val="24"/>
          <w:szCs w:val="24"/>
        </w:rPr>
      </w:pPr>
      <w:r w:rsidRPr="008B7969">
        <w:rPr>
          <w:b/>
          <w:sz w:val="24"/>
          <w:szCs w:val="24"/>
        </w:rPr>
        <w:t>Patient education</w:t>
      </w:r>
      <w:r>
        <w:rPr>
          <w:b/>
          <w:sz w:val="24"/>
          <w:szCs w:val="24"/>
        </w:rPr>
        <w:t>:</w:t>
      </w:r>
      <w:r w:rsidRPr="008B7969">
        <w:rPr>
          <w:sz w:val="24"/>
          <w:szCs w:val="24"/>
        </w:rPr>
        <w:t xml:space="preserve"> That is accurate and provided consistently</w:t>
      </w:r>
      <w:r>
        <w:rPr>
          <w:sz w:val="24"/>
          <w:szCs w:val="24"/>
        </w:rPr>
        <w:t>.</w:t>
      </w:r>
    </w:p>
    <w:p w14:paraId="1D9CBD4E" w14:textId="22A3EF54" w:rsidR="002A7CF2" w:rsidRPr="00705084" w:rsidRDefault="002A7CF2" w:rsidP="00705084">
      <w:pPr>
        <w:pStyle w:val="ListParagraph"/>
        <w:numPr>
          <w:ilvl w:val="0"/>
          <w:numId w:val="66"/>
        </w:numPr>
        <w:spacing w:before="120" w:after="120" w:line="360" w:lineRule="auto"/>
        <w:ind w:left="1800" w:hanging="450"/>
        <w:jc w:val="both"/>
        <w:rPr>
          <w:sz w:val="24"/>
          <w:szCs w:val="24"/>
        </w:rPr>
      </w:pPr>
      <w:r w:rsidRPr="002A7CF2">
        <w:rPr>
          <w:b/>
          <w:sz w:val="24"/>
          <w:szCs w:val="24"/>
        </w:rPr>
        <w:t>Medication use processes</w:t>
      </w:r>
      <w:r w:rsidRPr="002A7CF2">
        <w:rPr>
          <w:sz w:val="24"/>
          <w:szCs w:val="24"/>
        </w:rPr>
        <w:t xml:space="preserve"> that are evaluated for quality and can be redesigned to improve safety.</w:t>
      </w:r>
    </w:p>
    <w:p w14:paraId="4859609C" w14:textId="17F7FA4B" w:rsidR="00BD617B" w:rsidRDefault="00BD617B" w:rsidP="004C22CE">
      <w:pPr>
        <w:spacing w:after="240" w:line="276" w:lineRule="auto"/>
        <w:jc w:val="both"/>
        <w:rPr>
          <w:b/>
          <w:sz w:val="28"/>
          <w:szCs w:val="28"/>
          <w:u w:val="single"/>
        </w:rPr>
      </w:pPr>
      <w:r w:rsidRPr="00A66261">
        <w:rPr>
          <w:b/>
          <w:sz w:val="28"/>
          <w:szCs w:val="28"/>
        </w:rPr>
        <w:t xml:space="preserve">6. </w:t>
      </w:r>
      <w:r w:rsidR="001C4C5C" w:rsidRPr="00A66261">
        <w:rPr>
          <w:b/>
          <w:sz w:val="28"/>
          <w:szCs w:val="28"/>
        </w:rPr>
        <w:t>8</w:t>
      </w:r>
      <w:r w:rsidRPr="00A66261">
        <w:rPr>
          <w:b/>
          <w:sz w:val="28"/>
          <w:szCs w:val="28"/>
        </w:rPr>
        <w:t xml:space="preserve"> </w:t>
      </w:r>
      <w:r w:rsidRPr="002A7CF2">
        <w:rPr>
          <w:b/>
          <w:sz w:val="28"/>
          <w:szCs w:val="28"/>
          <w:u w:val="single"/>
        </w:rPr>
        <w:t xml:space="preserve">Tools for </w:t>
      </w:r>
      <w:r w:rsidR="008573E9" w:rsidRPr="002A7CF2">
        <w:rPr>
          <w:b/>
          <w:sz w:val="28"/>
          <w:szCs w:val="28"/>
          <w:u w:val="single"/>
        </w:rPr>
        <w:t>pharmacovigilance</w:t>
      </w:r>
      <w:r w:rsidRPr="002A7CF2">
        <w:rPr>
          <w:b/>
          <w:sz w:val="28"/>
          <w:szCs w:val="28"/>
          <w:u w:val="single"/>
        </w:rPr>
        <w:t>.</w:t>
      </w:r>
    </w:p>
    <w:p w14:paraId="32ADA631" w14:textId="4E03F68D" w:rsidR="00021B26" w:rsidRPr="00021B26" w:rsidRDefault="00A66261" w:rsidP="004C22CE">
      <w:pPr>
        <w:spacing w:after="240" w:line="276" w:lineRule="auto"/>
        <w:jc w:val="both"/>
        <w:rPr>
          <w:bCs/>
          <w:i/>
          <w:iCs/>
          <w:sz w:val="28"/>
          <w:szCs w:val="28"/>
        </w:rPr>
      </w:pPr>
      <w:r>
        <w:rPr>
          <w:bCs/>
          <w:i/>
          <w:iCs/>
          <w:sz w:val="28"/>
          <w:szCs w:val="28"/>
        </w:rPr>
        <w:t>Tools f</w:t>
      </w:r>
      <w:r w:rsidR="00021B26" w:rsidRPr="00021B26">
        <w:rPr>
          <w:bCs/>
          <w:i/>
          <w:iCs/>
          <w:sz w:val="28"/>
          <w:szCs w:val="28"/>
        </w:rPr>
        <w:t>or Reporting &amp; Collection</w:t>
      </w:r>
    </w:p>
    <w:p w14:paraId="27DC0E99" w14:textId="61141084" w:rsidR="00BD617B" w:rsidRDefault="00E03A13" w:rsidP="00B551AA">
      <w:pPr>
        <w:pStyle w:val="ListParagraph"/>
        <w:widowControl/>
        <w:numPr>
          <w:ilvl w:val="0"/>
          <w:numId w:val="55"/>
        </w:numPr>
        <w:spacing w:after="240" w:line="276" w:lineRule="auto"/>
        <w:ind w:left="1260"/>
        <w:contextualSpacing w:val="0"/>
        <w:jc w:val="both"/>
        <w:rPr>
          <w:bCs/>
          <w:color w:val="000000"/>
          <w:sz w:val="24"/>
          <w:szCs w:val="24"/>
        </w:rPr>
      </w:pPr>
      <w:hyperlink r:id="rId60" w:history="1">
        <w:r w:rsidR="00BD617B" w:rsidRPr="00F71A51">
          <w:rPr>
            <w:rStyle w:val="Hyperlink"/>
            <w:b/>
            <w:bCs/>
            <w:i/>
            <w:sz w:val="24"/>
            <w:szCs w:val="24"/>
          </w:rPr>
          <w:t>Suspected Adverse Drug Reaction Reporting Form</w:t>
        </w:r>
      </w:hyperlink>
      <w:r w:rsidR="00BD617B" w:rsidRPr="00C02BBE">
        <w:rPr>
          <w:b/>
          <w:bCs/>
          <w:i/>
          <w:color w:val="000000"/>
          <w:sz w:val="24"/>
          <w:szCs w:val="24"/>
        </w:rPr>
        <w:t>:</w:t>
      </w:r>
      <w:r w:rsidR="00BD617B" w:rsidRPr="00C02BBE">
        <w:rPr>
          <w:bCs/>
          <w:color w:val="000000"/>
          <w:sz w:val="24"/>
          <w:szCs w:val="24"/>
        </w:rPr>
        <w:t xml:space="preserve"> Refer to Chapter 4,</w:t>
      </w:r>
      <w:r w:rsidR="00C24FB3">
        <w:rPr>
          <w:bCs/>
          <w:color w:val="000000"/>
          <w:sz w:val="24"/>
          <w:szCs w:val="24"/>
        </w:rPr>
        <w:t xml:space="preserve"> </w:t>
      </w:r>
      <w:r w:rsidR="00C24FB3" w:rsidRPr="00C02BBE">
        <w:rPr>
          <w:bCs/>
          <w:color w:val="000000"/>
          <w:sz w:val="24"/>
          <w:szCs w:val="24"/>
        </w:rPr>
        <w:t xml:space="preserve">topic </w:t>
      </w:r>
      <w:r w:rsidR="00BD617B" w:rsidRPr="00C02BBE">
        <w:rPr>
          <w:bCs/>
          <w:color w:val="000000"/>
          <w:sz w:val="24"/>
          <w:szCs w:val="24"/>
        </w:rPr>
        <w:t>4.</w:t>
      </w:r>
      <w:r w:rsidR="00021B26">
        <w:rPr>
          <w:bCs/>
          <w:color w:val="000000"/>
          <w:sz w:val="24"/>
          <w:szCs w:val="24"/>
        </w:rPr>
        <w:t>3 A</w:t>
      </w:r>
      <w:r w:rsidR="00BD617B" w:rsidRPr="00C02BBE">
        <w:rPr>
          <w:bCs/>
          <w:color w:val="000000"/>
          <w:sz w:val="24"/>
          <w:szCs w:val="24"/>
        </w:rPr>
        <w:t xml:space="preserve"> along with “Annex A”</w:t>
      </w:r>
    </w:p>
    <w:p w14:paraId="7611B412" w14:textId="181B1710" w:rsidR="00C24FB3" w:rsidRPr="00E45334" w:rsidRDefault="00E03A13" w:rsidP="00B551AA">
      <w:pPr>
        <w:pStyle w:val="ListParagraph"/>
        <w:widowControl/>
        <w:numPr>
          <w:ilvl w:val="0"/>
          <w:numId w:val="55"/>
        </w:numPr>
        <w:spacing w:after="240" w:line="276" w:lineRule="auto"/>
        <w:ind w:left="1260"/>
        <w:contextualSpacing w:val="0"/>
        <w:jc w:val="both"/>
        <w:rPr>
          <w:b/>
          <w:i/>
          <w:iCs/>
          <w:color w:val="000000"/>
          <w:sz w:val="24"/>
          <w:szCs w:val="24"/>
        </w:rPr>
      </w:pPr>
      <w:hyperlink r:id="rId61" w:history="1">
        <w:r w:rsidR="00021B26" w:rsidRPr="004C2366">
          <w:rPr>
            <w:rStyle w:val="Hyperlink"/>
            <w:b/>
            <w:i/>
            <w:iCs/>
            <w:sz w:val="24"/>
            <w:szCs w:val="24"/>
          </w:rPr>
          <w:t>Med Vigilance E Reporting System (</w:t>
        </w:r>
        <w:r w:rsidR="00A66261" w:rsidRPr="004C2366">
          <w:rPr>
            <w:rStyle w:val="Hyperlink"/>
            <w:b/>
            <w:i/>
            <w:iCs/>
            <w:sz w:val="24"/>
            <w:szCs w:val="24"/>
          </w:rPr>
          <w:t xml:space="preserve">for </w:t>
        </w:r>
        <w:r w:rsidR="00021B26" w:rsidRPr="004C2366">
          <w:rPr>
            <w:rStyle w:val="Hyperlink"/>
            <w:b/>
            <w:i/>
            <w:iCs/>
            <w:sz w:val="24"/>
            <w:szCs w:val="24"/>
          </w:rPr>
          <w:t xml:space="preserve">HCPs and </w:t>
        </w:r>
        <w:r w:rsidR="00A66261" w:rsidRPr="004C2366">
          <w:rPr>
            <w:rStyle w:val="Hyperlink"/>
            <w:b/>
            <w:i/>
            <w:iCs/>
            <w:sz w:val="24"/>
            <w:szCs w:val="24"/>
          </w:rPr>
          <w:t>patients</w:t>
        </w:r>
      </w:hyperlink>
      <w:r w:rsidR="00021B26" w:rsidRPr="00021B26">
        <w:rPr>
          <w:b/>
          <w:i/>
          <w:iCs/>
          <w:color w:val="000000"/>
          <w:sz w:val="24"/>
          <w:szCs w:val="24"/>
        </w:rPr>
        <w:t>)</w:t>
      </w:r>
      <w:r w:rsidR="00021B26">
        <w:rPr>
          <w:b/>
          <w:i/>
          <w:iCs/>
          <w:color w:val="000000"/>
          <w:sz w:val="24"/>
          <w:szCs w:val="24"/>
        </w:rPr>
        <w:t>:</w:t>
      </w:r>
      <w:r w:rsidR="00021B26" w:rsidRPr="00021B26">
        <w:rPr>
          <w:b/>
          <w:i/>
          <w:iCs/>
          <w:color w:val="000000"/>
          <w:sz w:val="24"/>
          <w:szCs w:val="24"/>
        </w:rPr>
        <w:t xml:space="preserve"> </w:t>
      </w:r>
      <w:r w:rsidR="00021B26">
        <w:rPr>
          <w:bCs/>
          <w:color w:val="000000"/>
          <w:sz w:val="24"/>
          <w:szCs w:val="24"/>
        </w:rPr>
        <w:t xml:space="preserve">Refer </w:t>
      </w:r>
      <w:r w:rsidR="00CA59B7">
        <w:rPr>
          <w:bCs/>
          <w:color w:val="000000"/>
          <w:sz w:val="24"/>
          <w:szCs w:val="24"/>
        </w:rPr>
        <w:t xml:space="preserve">to </w:t>
      </w:r>
      <w:r w:rsidR="00021B26">
        <w:rPr>
          <w:bCs/>
          <w:color w:val="000000"/>
          <w:sz w:val="24"/>
          <w:szCs w:val="24"/>
        </w:rPr>
        <w:t xml:space="preserve">Chapter 4, Topic 4.3 B along with </w:t>
      </w:r>
      <w:proofErr w:type="gramStart"/>
      <w:r w:rsidR="00021B26">
        <w:rPr>
          <w:bCs/>
          <w:color w:val="000000"/>
          <w:sz w:val="24"/>
          <w:szCs w:val="24"/>
        </w:rPr>
        <w:t>“ Annexure</w:t>
      </w:r>
      <w:proofErr w:type="gramEnd"/>
      <w:r w:rsidR="00021B26">
        <w:rPr>
          <w:bCs/>
          <w:color w:val="000000"/>
          <w:sz w:val="24"/>
          <w:szCs w:val="24"/>
        </w:rPr>
        <w:t xml:space="preserve"> B”</w:t>
      </w:r>
      <w:r w:rsidR="00E45334">
        <w:rPr>
          <w:bCs/>
          <w:color w:val="000000"/>
          <w:sz w:val="24"/>
          <w:szCs w:val="24"/>
        </w:rPr>
        <w:t>.</w:t>
      </w:r>
    </w:p>
    <w:p w14:paraId="4BA7D590" w14:textId="688C3213" w:rsidR="00E45334" w:rsidRPr="002569C7" w:rsidRDefault="00E03A13" w:rsidP="00B551AA">
      <w:pPr>
        <w:pStyle w:val="ListParagraph"/>
        <w:widowControl/>
        <w:numPr>
          <w:ilvl w:val="0"/>
          <w:numId w:val="55"/>
        </w:numPr>
        <w:spacing w:after="240" w:line="276" w:lineRule="auto"/>
        <w:ind w:left="1260"/>
        <w:contextualSpacing w:val="0"/>
        <w:jc w:val="both"/>
        <w:rPr>
          <w:b/>
          <w:i/>
          <w:iCs/>
          <w:color w:val="000000"/>
          <w:sz w:val="24"/>
          <w:szCs w:val="24"/>
        </w:rPr>
      </w:pPr>
      <w:hyperlink r:id="rId62" w:history="1">
        <w:r w:rsidR="002569C7" w:rsidRPr="00F71A51">
          <w:rPr>
            <w:rStyle w:val="Hyperlink"/>
            <w:b/>
            <w:i/>
            <w:iCs/>
            <w:sz w:val="24"/>
            <w:szCs w:val="24"/>
          </w:rPr>
          <w:t>Med Safety</w:t>
        </w:r>
      </w:hyperlink>
      <w:r w:rsidR="002569C7">
        <w:rPr>
          <w:b/>
          <w:i/>
          <w:iCs/>
          <w:color w:val="000000"/>
          <w:sz w:val="24"/>
          <w:szCs w:val="24"/>
        </w:rPr>
        <w:t xml:space="preserve"> </w:t>
      </w:r>
      <w:hyperlink r:id="rId63" w:history="1">
        <w:r w:rsidR="002569C7" w:rsidRPr="00F71A51">
          <w:rPr>
            <w:rStyle w:val="Hyperlink"/>
            <w:b/>
            <w:i/>
            <w:iCs/>
            <w:sz w:val="24"/>
            <w:szCs w:val="24"/>
          </w:rPr>
          <w:t>Application</w:t>
        </w:r>
      </w:hyperlink>
      <w:r w:rsidR="00D07242">
        <w:rPr>
          <w:b/>
          <w:i/>
          <w:iCs/>
          <w:color w:val="000000"/>
          <w:sz w:val="24"/>
          <w:szCs w:val="24"/>
        </w:rPr>
        <w:t xml:space="preserve"> </w:t>
      </w:r>
      <w:r w:rsidR="002569C7">
        <w:rPr>
          <w:b/>
          <w:i/>
          <w:iCs/>
          <w:color w:val="000000"/>
          <w:sz w:val="24"/>
          <w:szCs w:val="24"/>
        </w:rPr>
        <w:t>(</w:t>
      </w:r>
      <w:r w:rsidR="00A66261">
        <w:rPr>
          <w:b/>
          <w:i/>
          <w:iCs/>
          <w:color w:val="000000"/>
          <w:sz w:val="24"/>
          <w:szCs w:val="24"/>
        </w:rPr>
        <w:t xml:space="preserve">for </w:t>
      </w:r>
      <w:r w:rsidR="002569C7">
        <w:rPr>
          <w:b/>
          <w:i/>
          <w:iCs/>
          <w:color w:val="000000"/>
          <w:sz w:val="24"/>
          <w:szCs w:val="24"/>
        </w:rPr>
        <w:t xml:space="preserve">HCPs and </w:t>
      </w:r>
      <w:r w:rsidR="00A66261">
        <w:rPr>
          <w:b/>
          <w:i/>
          <w:iCs/>
          <w:color w:val="000000"/>
          <w:sz w:val="24"/>
          <w:szCs w:val="24"/>
        </w:rPr>
        <w:t>patients</w:t>
      </w:r>
      <w:r w:rsidR="002569C7">
        <w:rPr>
          <w:b/>
          <w:i/>
          <w:iCs/>
          <w:color w:val="000000"/>
          <w:sz w:val="24"/>
          <w:szCs w:val="24"/>
        </w:rPr>
        <w:t xml:space="preserve">): </w:t>
      </w:r>
      <w:r w:rsidR="002569C7">
        <w:rPr>
          <w:bCs/>
          <w:color w:val="000000"/>
          <w:sz w:val="24"/>
          <w:szCs w:val="24"/>
        </w:rPr>
        <w:t xml:space="preserve">Refer </w:t>
      </w:r>
      <w:r w:rsidR="00CA59B7">
        <w:rPr>
          <w:bCs/>
          <w:color w:val="000000"/>
          <w:sz w:val="24"/>
          <w:szCs w:val="24"/>
        </w:rPr>
        <w:t xml:space="preserve">to </w:t>
      </w:r>
      <w:r w:rsidR="002569C7">
        <w:rPr>
          <w:bCs/>
          <w:color w:val="000000"/>
          <w:sz w:val="24"/>
          <w:szCs w:val="24"/>
        </w:rPr>
        <w:t xml:space="preserve">Chapter 4, </w:t>
      </w:r>
      <w:r w:rsidR="00A66261">
        <w:rPr>
          <w:bCs/>
          <w:color w:val="000000"/>
          <w:sz w:val="24"/>
          <w:szCs w:val="24"/>
        </w:rPr>
        <w:t xml:space="preserve">topic </w:t>
      </w:r>
      <w:r w:rsidR="002569C7">
        <w:rPr>
          <w:bCs/>
          <w:color w:val="000000"/>
          <w:sz w:val="24"/>
          <w:szCs w:val="24"/>
        </w:rPr>
        <w:t xml:space="preserve">4.3C along with </w:t>
      </w:r>
      <w:proofErr w:type="gramStart"/>
      <w:r w:rsidR="002569C7">
        <w:rPr>
          <w:bCs/>
          <w:color w:val="000000"/>
          <w:sz w:val="24"/>
          <w:szCs w:val="24"/>
        </w:rPr>
        <w:t>“ Annexure</w:t>
      </w:r>
      <w:proofErr w:type="gramEnd"/>
      <w:r w:rsidR="002569C7">
        <w:rPr>
          <w:bCs/>
          <w:color w:val="000000"/>
          <w:sz w:val="24"/>
          <w:szCs w:val="24"/>
        </w:rPr>
        <w:t xml:space="preserve"> C”.</w:t>
      </w:r>
    </w:p>
    <w:p w14:paraId="7128E700" w14:textId="7AB3DBCC" w:rsidR="002569C7" w:rsidRDefault="00E03A13" w:rsidP="00B551AA">
      <w:pPr>
        <w:pStyle w:val="ListParagraph"/>
        <w:widowControl/>
        <w:numPr>
          <w:ilvl w:val="0"/>
          <w:numId w:val="55"/>
        </w:numPr>
        <w:spacing w:after="240" w:line="276" w:lineRule="auto"/>
        <w:ind w:left="1260"/>
        <w:contextualSpacing w:val="0"/>
        <w:jc w:val="both"/>
        <w:rPr>
          <w:b/>
          <w:i/>
          <w:iCs/>
          <w:color w:val="000000"/>
          <w:sz w:val="24"/>
          <w:szCs w:val="24"/>
        </w:rPr>
      </w:pPr>
      <w:hyperlink r:id="rId64" w:history="1">
        <w:r w:rsidR="00340395" w:rsidRPr="00F71A51">
          <w:rPr>
            <w:rStyle w:val="Hyperlink"/>
            <w:b/>
            <w:i/>
            <w:iCs/>
            <w:sz w:val="24"/>
            <w:szCs w:val="24"/>
          </w:rPr>
          <w:t>CIOMS Form-I</w:t>
        </w:r>
      </w:hyperlink>
      <w:r w:rsidR="00340395">
        <w:rPr>
          <w:b/>
          <w:i/>
          <w:iCs/>
          <w:color w:val="000000"/>
          <w:sz w:val="24"/>
          <w:szCs w:val="24"/>
        </w:rPr>
        <w:t xml:space="preserve"> (</w:t>
      </w:r>
      <w:r w:rsidR="00A66261">
        <w:rPr>
          <w:b/>
          <w:i/>
          <w:iCs/>
          <w:color w:val="000000"/>
          <w:sz w:val="24"/>
          <w:szCs w:val="24"/>
        </w:rPr>
        <w:t>for registration holders</w:t>
      </w:r>
      <w:r w:rsidR="00340395">
        <w:rPr>
          <w:b/>
          <w:i/>
          <w:iCs/>
          <w:color w:val="000000"/>
          <w:sz w:val="24"/>
          <w:szCs w:val="24"/>
        </w:rPr>
        <w:t xml:space="preserve">): </w:t>
      </w:r>
      <w:r w:rsidR="00340395" w:rsidRPr="00340395">
        <w:rPr>
          <w:bCs/>
          <w:color w:val="000000"/>
          <w:sz w:val="24"/>
          <w:szCs w:val="24"/>
        </w:rPr>
        <w:t xml:space="preserve">Refer to Chapter 4, </w:t>
      </w:r>
      <w:r w:rsidR="00A66261" w:rsidRPr="00340395">
        <w:rPr>
          <w:bCs/>
          <w:color w:val="000000"/>
          <w:sz w:val="24"/>
          <w:szCs w:val="24"/>
        </w:rPr>
        <w:t xml:space="preserve">topic </w:t>
      </w:r>
      <w:r w:rsidR="00340395" w:rsidRPr="00340395">
        <w:rPr>
          <w:bCs/>
          <w:color w:val="000000"/>
          <w:sz w:val="24"/>
          <w:szCs w:val="24"/>
        </w:rPr>
        <w:t xml:space="preserve">4.3 D, </w:t>
      </w:r>
      <w:r w:rsidR="00340395">
        <w:rPr>
          <w:bCs/>
          <w:color w:val="000000"/>
          <w:sz w:val="24"/>
          <w:szCs w:val="24"/>
        </w:rPr>
        <w:t>“</w:t>
      </w:r>
      <w:r w:rsidR="00340395" w:rsidRPr="00340395">
        <w:rPr>
          <w:bCs/>
          <w:color w:val="000000"/>
          <w:sz w:val="24"/>
          <w:szCs w:val="24"/>
        </w:rPr>
        <w:t>Annexure-D</w:t>
      </w:r>
      <w:r w:rsidR="00340395">
        <w:rPr>
          <w:bCs/>
          <w:color w:val="000000"/>
          <w:sz w:val="24"/>
          <w:szCs w:val="24"/>
        </w:rPr>
        <w:t>”.</w:t>
      </w:r>
      <w:r w:rsidR="00340395">
        <w:rPr>
          <w:b/>
          <w:i/>
          <w:iCs/>
          <w:color w:val="000000"/>
          <w:sz w:val="24"/>
          <w:szCs w:val="24"/>
        </w:rPr>
        <w:t xml:space="preserve"> </w:t>
      </w:r>
    </w:p>
    <w:p w14:paraId="02A4BAD8" w14:textId="734A8BED" w:rsidR="00A66261" w:rsidRPr="005F6214" w:rsidRDefault="00A66261" w:rsidP="00B551AA">
      <w:pPr>
        <w:pStyle w:val="ListParagraph"/>
        <w:widowControl/>
        <w:numPr>
          <w:ilvl w:val="0"/>
          <w:numId w:val="55"/>
        </w:numPr>
        <w:spacing w:after="240" w:line="276" w:lineRule="auto"/>
        <w:ind w:left="1260"/>
        <w:contextualSpacing w:val="0"/>
        <w:jc w:val="both"/>
        <w:rPr>
          <w:b/>
          <w:i/>
          <w:iCs/>
          <w:color w:val="000000"/>
          <w:sz w:val="24"/>
          <w:szCs w:val="24"/>
        </w:rPr>
      </w:pPr>
      <w:r>
        <w:rPr>
          <w:b/>
          <w:i/>
          <w:iCs/>
          <w:color w:val="000000"/>
          <w:sz w:val="24"/>
          <w:szCs w:val="24"/>
        </w:rPr>
        <w:t xml:space="preserve">E2B xml reporting (for registration holders): </w:t>
      </w:r>
      <w:r>
        <w:rPr>
          <w:bCs/>
          <w:color w:val="000000"/>
          <w:sz w:val="24"/>
          <w:szCs w:val="24"/>
        </w:rPr>
        <w:t>Refer to Chapter 4, topic 4.3E.</w:t>
      </w:r>
    </w:p>
    <w:p w14:paraId="0DE70627" w14:textId="4A69BF7B" w:rsidR="005F6214" w:rsidRPr="00950FE1" w:rsidRDefault="005F6214" w:rsidP="00B551AA">
      <w:pPr>
        <w:pStyle w:val="ListParagraph"/>
        <w:widowControl/>
        <w:numPr>
          <w:ilvl w:val="0"/>
          <w:numId w:val="55"/>
        </w:numPr>
        <w:spacing w:after="240" w:line="276" w:lineRule="auto"/>
        <w:ind w:left="1260"/>
        <w:contextualSpacing w:val="0"/>
        <w:jc w:val="both"/>
        <w:rPr>
          <w:b/>
          <w:i/>
          <w:iCs/>
          <w:color w:val="000000"/>
          <w:sz w:val="24"/>
          <w:szCs w:val="24"/>
        </w:rPr>
      </w:pPr>
      <w:r>
        <w:rPr>
          <w:b/>
          <w:i/>
          <w:iCs/>
          <w:color w:val="000000"/>
          <w:sz w:val="24"/>
          <w:szCs w:val="24"/>
        </w:rPr>
        <w:t>Telephones No: 051-9107413 and 9107299</w:t>
      </w:r>
      <w:r w:rsidR="006E1121">
        <w:rPr>
          <w:b/>
          <w:i/>
          <w:iCs/>
          <w:color w:val="000000"/>
          <w:sz w:val="24"/>
          <w:szCs w:val="24"/>
        </w:rPr>
        <w:t xml:space="preserve"> </w:t>
      </w:r>
      <w:r w:rsidR="006E1121" w:rsidRPr="006E1121">
        <w:rPr>
          <w:bCs/>
          <w:i/>
          <w:iCs/>
          <w:color w:val="000000"/>
          <w:sz w:val="24"/>
          <w:szCs w:val="24"/>
        </w:rPr>
        <w:t xml:space="preserve">and email address: </w:t>
      </w:r>
      <w:hyperlink r:id="rId65" w:history="1">
        <w:r w:rsidR="006E1121" w:rsidRPr="006E1121">
          <w:rPr>
            <w:rStyle w:val="Hyperlink"/>
            <w:bCs/>
            <w:i/>
            <w:iCs/>
            <w:sz w:val="24"/>
            <w:szCs w:val="24"/>
          </w:rPr>
          <w:t>mateen.ath@gmail.com</w:t>
        </w:r>
      </w:hyperlink>
      <w:r w:rsidR="006E1121" w:rsidRPr="006E1121">
        <w:rPr>
          <w:bCs/>
          <w:i/>
          <w:iCs/>
          <w:color w:val="000000"/>
          <w:sz w:val="24"/>
          <w:szCs w:val="24"/>
        </w:rPr>
        <w:t xml:space="preserve"> </w:t>
      </w:r>
    </w:p>
    <w:p w14:paraId="454D79F8" w14:textId="77777777" w:rsidR="00950FE1" w:rsidRPr="00A66261" w:rsidRDefault="00950FE1" w:rsidP="00950FE1">
      <w:pPr>
        <w:pStyle w:val="ListParagraph"/>
        <w:widowControl/>
        <w:spacing w:after="240" w:line="276" w:lineRule="auto"/>
        <w:ind w:left="1260"/>
        <w:contextualSpacing w:val="0"/>
        <w:jc w:val="both"/>
        <w:rPr>
          <w:b/>
          <w:i/>
          <w:iCs/>
          <w:color w:val="000000"/>
          <w:sz w:val="24"/>
          <w:szCs w:val="24"/>
        </w:rPr>
      </w:pPr>
    </w:p>
    <w:p w14:paraId="485C0BE5" w14:textId="0C52AEA6" w:rsidR="00A66261" w:rsidRPr="00A66261" w:rsidRDefault="00A66261" w:rsidP="00A66261">
      <w:pPr>
        <w:spacing w:after="240" w:line="276" w:lineRule="auto"/>
        <w:jc w:val="both"/>
        <w:rPr>
          <w:bCs/>
          <w:i/>
          <w:iCs/>
          <w:sz w:val="28"/>
          <w:szCs w:val="28"/>
        </w:rPr>
      </w:pPr>
      <w:r>
        <w:rPr>
          <w:bCs/>
          <w:i/>
          <w:iCs/>
          <w:sz w:val="28"/>
          <w:szCs w:val="28"/>
        </w:rPr>
        <w:t>Tool f</w:t>
      </w:r>
      <w:r w:rsidRPr="00A66261">
        <w:rPr>
          <w:bCs/>
          <w:i/>
          <w:iCs/>
          <w:sz w:val="28"/>
          <w:szCs w:val="28"/>
        </w:rPr>
        <w:t xml:space="preserve">or </w:t>
      </w:r>
      <w:r>
        <w:rPr>
          <w:bCs/>
          <w:i/>
          <w:iCs/>
          <w:sz w:val="28"/>
          <w:szCs w:val="28"/>
        </w:rPr>
        <w:t>assessment &amp; signal detection.</w:t>
      </w:r>
    </w:p>
    <w:p w14:paraId="79402AB9" w14:textId="04D265B2" w:rsidR="00A66261" w:rsidRPr="00C02BBE" w:rsidRDefault="00E03A13" w:rsidP="00A66261">
      <w:pPr>
        <w:pStyle w:val="ListParagraph"/>
        <w:widowControl/>
        <w:numPr>
          <w:ilvl w:val="0"/>
          <w:numId w:val="82"/>
        </w:numPr>
        <w:tabs>
          <w:tab w:val="left" w:pos="1350"/>
        </w:tabs>
        <w:spacing w:after="240" w:line="276" w:lineRule="auto"/>
        <w:ind w:left="900" w:firstLine="0"/>
        <w:contextualSpacing w:val="0"/>
        <w:jc w:val="both"/>
        <w:rPr>
          <w:bCs/>
          <w:color w:val="000000"/>
          <w:sz w:val="24"/>
          <w:szCs w:val="24"/>
        </w:rPr>
      </w:pPr>
      <w:hyperlink r:id="rId66" w:history="1">
        <w:r w:rsidR="00A66261" w:rsidRPr="00AD1C0F">
          <w:rPr>
            <w:rStyle w:val="Hyperlink"/>
            <w:b/>
            <w:bCs/>
            <w:i/>
            <w:sz w:val="24"/>
            <w:szCs w:val="24"/>
          </w:rPr>
          <w:t>Naranjo Algorithm for Causality Assessment</w:t>
        </w:r>
      </w:hyperlink>
      <w:r w:rsidR="00A66261" w:rsidRPr="00C02BBE">
        <w:rPr>
          <w:b/>
          <w:bCs/>
          <w:i/>
          <w:color w:val="000000"/>
          <w:sz w:val="24"/>
          <w:szCs w:val="24"/>
        </w:rPr>
        <w:t>:</w:t>
      </w:r>
      <w:r w:rsidR="00A66261" w:rsidRPr="00C02BBE">
        <w:rPr>
          <w:bCs/>
          <w:color w:val="000000"/>
          <w:sz w:val="24"/>
          <w:szCs w:val="24"/>
        </w:rPr>
        <w:t xml:space="preserve"> Refer to Chapter 6 and topic 6.3</w:t>
      </w:r>
      <w:r w:rsidR="00F0565F">
        <w:rPr>
          <w:bCs/>
          <w:color w:val="000000"/>
          <w:sz w:val="24"/>
          <w:szCs w:val="24"/>
        </w:rPr>
        <w:t>.</w:t>
      </w:r>
    </w:p>
    <w:p w14:paraId="2DB3F3D8" w14:textId="72F7823C" w:rsidR="00A66261" w:rsidRPr="00C02BBE" w:rsidRDefault="00E03A13" w:rsidP="00A66261">
      <w:pPr>
        <w:pStyle w:val="ListParagraph"/>
        <w:widowControl/>
        <w:numPr>
          <w:ilvl w:val="0"/>
          <w:numId w:val="82"/>
        </w:numPr>
        <w:spacing w:after="240" w:line="276" w:lineRule="auto"/>
        <w:ind w:left="1260"/>
        <w:contextualSpacing w:val="0"/>
        <w:jc w:val="both"/>
        <w:rPr>
          <w:b/>
          <w:bCs/>
          <w:i/>
          <w:color w:val="000000"/>
          <w:sz w:val="24"/>
          <w:szCs w:val="24"/>
        </w:rPr>
      </w:pPr>
      <w:hyperlink r:id="rId67" w:history="1">
        <w:r w:rsidR="00A66261" w:rsidRPr="004E78E2">
          <w:rPr>
            <w:rStyle w:val="Hyperlink"/>
            <w:b/>
            <w:bCs/>
            <w:i/>
            <w:sz w:val="24"/>
            <w:szCs w:val="24"/>
          </w:rPr>
          <w:t>WHO-UMC System for Standardised Case Causality Assessment</w:t>
        </w:r>
      </w:hyperlink>
      <w:r w:rsidR="00A66261" w:rsidRPr="00C02BBE">
        <w:rPr>
          <w:b/>
          <w:bCs/>
          <w:i/>
          <w:color w:val="000000" w:themeColor="text1"/>
          <w:sz w:val="24"/>
          <w:szCs w:val="24"/>
        </w:rPr>
        <w:t>:</w:t>
      </w:r>
      <w:r w:rsidR="00A66261" w:rsidRPr="00C02BBE">
        <w:rPr>
          <w:b/>
          <w:i/>
          <w:sz w:val="24"/>
          <w:szCs w:val="24"/>
        </w:rPr>
        <w:t xml:space="preserve"> </w:t>
      </w:r>
      <w:r w:rsidR="00A66261" w:rsidRPr="00C02BBE">
        <w:rPr>
          <w:sz w:val="24"/>
          <w:szCs w:val="24"/>
        </w:rPr>
        <w:t>Refer to Chapter 6 and topic 6.4</w:t>
      </w:r>
      <w:r w:rsidR="00A66261">
        <w:rPr>
          <w:sz w:val="24"/>
          <w:szCs w:val="24"/>
        </w:rPr>
        <w:t>.</w:t>
      </w:r>
    </w:p>
    <w:p w14:paraId="6B9E6A07" w14:textId="3CB0B475" w:rsidR="00A66261" w:rsidRPr="00A66261" w:rsidRDefault="00A66261" w:rsidP="00A66261">
      <w:pPr>
        <w:pStyle w:val="ListParagraph"/>
        <w:widowControl/>
        <w:numPr>
          <w:ilvl w:val="0"/>
          <w:numId w:val="82"/>
        </w:numPr>
        <w:spacing w:after="240" w:line="276" w:lineRule="auto"/>
        <w:ind w:left="1260"/>
        <w:contextualSpacing w:val="0"/>
        <w:jc w:val="both"/>
        <w:rPr>
          <w:b/>
          <w:bCs/>
          <w:i/>
          <w:color w:val="000000"/>
          <w:sz w:val="24"/>
          <w:szCs w:val="24"/>
        </w:rPr>
      </w:pPr>
      <w:r w:rsidRPr="00C02BBE">
        <w:rPr>
          <w:sz w:val="24"/>
          <w:szCs w:val="24"/>
        </w:rPr>
        <w:t xml:space="preserve"> </w:t>
      </w:r>
      <w:r w:rsidRPr="00C02BBE">
        <w:rPr>
          <w:b/>
          <w:i/>
          <w:sz w:val="24"/>
          <w:szCs w:val="24"/>
        </w:rPr>
        <w:t xml:space="preserve">Bradford Hill Criteria for Causality Assessment of </w:t>
      </w:r>
      <w:r w:rsidR="00BE50C7" w:rsidRPr="00C02BBE">
        <w:rPr>
          <w:b/>
          <w:i/>
          <w:sz w:val="24"/>
          <w:szCs w:val="24"/>
        </w:rPr>
        <w:t>Case Series</w:t>
      </w:r>
      <w:r w:rsidRPr="00C02BBE">
        <w:rPr>
          <w:b/>
          <w:i/>
          <w:sz w:val="24"/>
          <w:szCs w:val="24"/>
        </w:rPr>
        <w:t>:</w:t>
      </w:r>
      <w:r w:rsidRPr="00C02BBE">
        <w:rPr>
          <w:sz w:val="24"/>
          <w:szCs w:val="24"/>
        </w:rPr>
        <w:t xml:space="preserve"> Refer to Chapter 6 and topic 6.5</w:t>
      </w:r>
    </w:p>
    <w:p w14:paraId="23E2588C" w14:textId="51AC7D83" w:rsidR="00A66261" w:rsidRDefault="00E03A13" w:rsidP="00950FE1">
      <w:pPr>
        <w:pStyle w:val="ListParagraph"/>
        <w:widowControl/>
        <w:numPr>
          <w:ilvl w:val="0"/>
          <w:numId w:val="82"/>
        </w:numPr>
        <w:spacing w:after="240" w:line="276" w:lineRule="auto"/>
        <w:ind w:left="1260"/>
        <w:contextualSpacing w:val="0"/>
        <w:jc w:val="both"/>
        <w:rPr>
          <w:bCs/>
          <w:color w:val="000000"/>
          <w:sz w:val="24"/>
          <w:szCs w:val="24"/>
        </w:rPr>
      </w:pPr>
      <w:hyperlink r:id="rId68" w:history="1">
        <w:proofErr w:type="spellStart"/>
        <w:r w:rsidR="00A66261" w:rsidRPr="001E0320">
          <w:rPr>
            <w:rStyle w:val="Hyperlink"/>
            <w:b/>
            <w:i/>
            <w:sz w:val="24"/>
            <w:szCs w:val="24"/>
          </w:rPr>
          <w:t>VigiLyze</w:t>
        </w:r>
        <w:proofErr w:type="spellEnd"/>
        <w:r w:rsidR="00A66261" w:rsidRPr="001E0320">
          <w:rPr>
            <w:rStyle w:val="Hyperlink"/>
            <w:b/>
            <w:i/>
            <w:sz w:val="24"/>
            <w:szCs w:val="24"/>
          </w:rPr>
          <w:t xml:space="preserve"> for Signal Detection</w:t>
        </w:r>
      </w:hyperlink>
      <w:r w:rsidR="00A66261" w:rsidRPr="00C02BBE">
        <w:rPr>
          <w:b/>
          <w:i/>
          <w:sz w:val="24"/>
          <w:szCs w:val="24"/>
        </w:rPr>
        <w:t>:</w:t>
      </w:r>
      <w:r w:rsidR="00A66261" w:rsidRPr="00C02BBE">
        <w:rPr>
          <w:sz w:val="24"/>
          <w:szCs w:val="24"/>
        </w:rPr>
        <w:t xml:space="preserve"> Refer to Chapter 10 and topic 10.2.4</w:t>
      </w:r>
      <w:r w:rsidR="00950FE1">
        <w:rPr>
          <w:sz w:val="24"/>
          <w:szCs w:val="24"/>
        </w:rPr>
        <w:t>.</w:t>
      </w:r>
    </w:p>
    <w:p w14:paraId="78F5BE05" w14:textId="77777777" w:rsidR="00950FE1" w:rsidRPr="00950FE1" w:rsidRDefault="00950FE1" w:rsidP="00950FE1">
      <w:pPr>
        <w:pStyle w:val="ListParagraph"/>
        <w:widowControl/>
        <w:spacing w:after="240" w:line="276" w:lineRule="auto"/>
        <w:ind w:left="1260"/>
        <w:contextualSpacing w:val="0"/>
        <w:jc w:val="both"/>
        <w:rPr>
          <w:bCs/>
          <w:color w:val="000000"/>
          <w:sz w:val="24"/>
          <w:szCs w:val="24"/>
        </w:rPr>
      </w:pPr>
    </w:p>
    <w:p w14:paraId="51FF363C" w14:textId="26F72099" w:rsidR="00A66261" w:rsidRPr="00950FE1" w:rsidRDefault="00950FE1" w:rsidP="00950FE1">
      <w:pPr>
        <w:spacing w:after="240" w:line="276" w:lineRule="auto"/>
        <w:jc w:val="both"/>
        <w:rPr>
          <w:bCs/>
          <w:i/>
          <w:iCs/>
          <w:sz w:val="28"/>
          <w:szCs w:val="28"/>
        </w:rPr>
      </w:pPr>
      <w:r>
        <w:rPr>
          <w:bCs/>
          <w:i/>
          <w:iCs/>
          <w:sz w:val="28"/>
          <w:szCs w:val="28"/>
        </w:rPr>
        <w:t>Tool f</w:t>
      </w:r>
      <w:r w:rsidRPr="00A66261">
        <w:rPr>
          <w:bCs/>
          <w:i/>
          <w:iCs/>
          <w:sz w:val="28"/>
          <w:szCs w:val="28"/>
        </w:rPr>
        <w:t xml:space="preserve">or </w:t>
      </w:r>
      <w:r>
        <w:rPr>
          <w:bCs/>
          <w:i/>
          <w:iCs/>
          <w:sz w:val="28"/>
          <w:szCs w:val="28"/>
        </w:rPr>
        <w:t>data storage and coding.</w:t>
      </w:r>
    </w:p>
    <w:p w14:paraId="38220608" w14:textId="1809B768" w:rsidR="00BD617B" w:rsidRPr="00C02BBE" w:rsidRDefault="00E03A13" w:rsidP="00501343">
      <w:pPr>
        <w:pStyle w:val="ListParagraph"/>
        <w:widowControl/>
        <w:numPr>
          <w:ilvl w:val="0"/>
          <w:numId w:val="83"/>
        </w:numPr>
        <w:spacing w:after="240" w:line="276" w:lineRule="auto"/>
        <w:ind w:left="1260"/>
        <w:contextualSpacing w:val="0"/>
        <w:jc w:val="both"/>
        <w:rPr>
          <w:bCs/>
          <w:color w:val="000000"/>
          <w:sz w:val="24"/>
          <w:szCs w:val="24"/>
        </w:rPr>
      </w:pPr>
      <w:hyperlink r:id="rId69" w:history="1">
        <w:r w:rsidR="00BD617B" w:rsidRPr="008F6A56">
          <w:rPr>
            <w:rStyle w:val="Hyperlink"/>
            <w:b/>
            <w:i/>
            <w:sz w:val="24"/>
            <w:szCs w:val="24"/>
          </w:rPr>
          <w:t xml:space="preserve">National Database in the Form of </w:t>
        </w:r>
        <w:proofErr w:type="spellStart"/>
        <w:r w:rsidR="00BD617B" w:rsidRPr="008F6A56">
          <w:rPr>
            <w:rStyle w:val="Hyperlink"/>
            <w:b/>
            <w:i/>
            <w:sz w:val="24"/>
            <w:szCs w:val="24"/>
          </w:rPr>
          <w:t>VigiFlow</w:t>
        </w:r>
        <w:proofErr w:type="spellEnd"/>
      </w:hyperlink>
      <w:r w:rsidR="00BD617B" w:rsidRPr="00C02BBE">
        <w:rPr>
          <w:b/>
          <w:i/>
          <w:sz w:val="24"/>
          <w:szCs w:val="24"/>
        </w:rPr>
        <w:t xml:space="preserve">: </w:t>
      </w:r>
      <w:r w:rsidR="00BD617B" w:rsidRPr="00C02BBE">
        <w:rPr>
          <w:sz w:val="24"/>
          <w:szCs w:val="24"/>
        </w:rPr>
        <w:t>Refer to Chapter 10 and topic 10.2.3</w:t>
      </w:r>
    </w:p>
    <w:p w14:paraId="2C3CB095" w14:textId="542899AE" w:rsidR="00BD617B" w:rsidRPr="00C02BBE" w:rsidRDefault="00E03A13" w:rsidP="00501343">
      <w:pPr>
        <w:pStyle w:val="ListParagraph"/>
        <w:widowControl/>
        <w:numPr>
          <w:ilvl w:val="0"/>
          <w:numId w:val="83"/>
        </w:numPr>
        <w:spacing w:after="240" w:line="276" w:lineRule="auto"/>
        <w:ind w:left="1260"/>
        <w:contextualSpacing w:val="0"/>
        <w:jc w:val="both"/>
        <w:rPr>
          <w:bCs/>
          <w:color w:val="000000"/>
          <w:sz w:val="24"/>
          <w:szCs w:val="24"/>
        </w:rPr>
      </w:pPr>
      <w:hyperlink r:id="rId70" w:history="1">
        <w:r w:rsidR="00BD617B" w:rsidRPr="00E25E62">
          <w:rPr>
            <w:rStyle w:val="Hyperlink"/>
            <w:b/>
            <w:i/>
            <w:sz w:val="24"/>
            <w:szCs w:val="24"/>
          </w:rPr>
          <w:t>Medical Dictionary for Regulatory Activities</w:t>
        </w:r>
        <w:r w:rsidR="00BD617B" w:rsidRPr="00E25E62">
          <w:rPr>
            <w:rStyle w:val="Hyperlink"/>
            <w:sz w:val="24"/>
            <w:szCs w:val="24"/>
          </w:rPr>
          <w:t>.</w:t>
        </w:r>
      </w:hyperlink>
      <w:r w:rsidR="00BD617B" w:rsidRPr="00C02BBE">
        <w:rPr>
          <w:sz w:val="24"/>
          <w:szCs w:val="24"/>
        </w:rPr>
        <w:t xml:space="preserve"> Refer to Chapter 10 and topic 10.3</w:t>
      </w:r>
    </w:p>
    <w:p w14:paraId="2F4F1654" w14:textId="745DA91C" w:rsidR="00BD617B" w:rsidRDefault="00E03A13" w:rsidP="00501343">
      <w:pPr>
        <w:pStyle w:val="ListParagraph"/>
        <w:widowControl/>
        <w:numPr>
          <w:ilvl w:val="0"/>
          <w:numId w:val="83"/>
        </w:numPr>
        <w:spacing w:after="240" w:line="276" w:lineRule="auto"/>
        <w:ind w:left="1260"/>
        <w:contextualSpacing w:val="0"/>
        <w:jc w:val="both"/>
        <w:rPr>
          <w:sz w:val="24"/>
          <w:szCs w:val="24"/>
        </w:rPr>
      </w:pPr>
      <w:hyperlink r:id="rId71" w:anchor=":~:text=WHODrug%20Global%20is%20the%20international,terminology%20when%20coding%20concomitant%20medications." w:history="1">
        <w:r w:rsidR="00BD617B" w:rsidRPr="008F6A56">
          <w:rPr>
            <w:rStyle w:val="Hyperlink"/>
            <w:b/>
            <w:i/>
            <w:sz w:val="24"/>
            <w:szCs w:val="24"/>
          </w:rPr>
          <w:t>WHO-Drug</w:t>
        </w:r>
      </w:hyperlink>
      <w:r w:rsidR="00BD617B" w:rsidRPr="00C02BBE">
        <w:rPr>
          <w:b/>
          <w:i/>
          <w:sz w:val="24"/>
          <w:szCs w:val="24"/>
        </w:rPr>
        <w:t>:</w:t>
      </w:r>
      <w:r w:rsidR="00BD617B" w:rsidRPr="00C02BBE">
        <w:rPr>
          <w:sz w:val="24"/>
          <w:szCs w:val="24"/>
        </w:rPr>
        <w:t xml:space="preserve"> Refer to Chapter 10 a</w:t>
      </w:r>
      <w:r w:rsidR="00BD617B">
        <w:rPr>
          <w:sz w:val="24"/>
          <w:szCs w:val="24"/>
        </w:rPr>
        <w:t>n</w:t>
      </w:r>
      <w:r w:rsidR="00BD617B" w:rsidRPr="00C02BBE">
        <w:rPr>
          <w:sz w:val="24"/>
          <w:szCs w:val="24"/>
        </w:rPr>
        <w:t>d topic 10.2.1</w:t>
      </w:r>
    </w:p>
    <w:p w14:paraId="0C5CD6C9" w14:textId="081851F6" w:rsidR="00BD617B" w:rsidRDefault="00BD617B">
      <w:pPr>
        <w:widowControl/>
        <w:spacing w:before="120" w:after="120" w:line="360" w:lineRule="auto"/>
        <w:jc w:val="both"/>
        <w:rPr>
          <w:bCs/>
          <w:sz w:val="24"/>
          <w:szCs w:val="24"/>
        </w:rPr>
      </w:pPr>
      <w:r>
        <w:rPr>
          <w:bCs/>
          <w:sz w:val="24"/>
          <w:szCs w:val="24"/>
        </w:rPr>
        <w:br w:type="page"/>
      </w:r>
    </w:p>
    <w:tbl>
      <w:tblPr>
        <w:tblStyle w:val="TableGrid"/>
        <w:tblW w:w="0" w:type="auto"/>
        <w:tblLook w:val="04A0" w:firstRow="1" w:lastRow="0" w:firstColumn="1" w:lastColumn="0" w:noHBand="0" w:noVBand="1"/>
      </w:tblPr>
      <w:tblGrid>
        <w:gridCol w:w="9350"/>
      </w:tblGrid>
      <w:tr w:rsidR="00BD617B" w14:paraId="739FBE5A" w14:textId="77777777" w:rsidTr="00BD617B">
        <w:tc>
          <w:tcPr>
            <w:tcW w:w="9350" w:type="dxa"/>
            <w:shd w:val="clear" w:color="auto" w:fill="00B0F0"/>
          </w:tcPr>
          <w:p w14:paraId="2E4A4E04" w14:textId="4154C682" w:rsidR="00BD617B" w:rsidRPr="00BD617B" w:rsidRDefault="00BD617B" w:rsidP="00BD617B">
            <w:pPr>
              <w:jc w:val="center"/>
              <w:rPr>
                <w:b/>
                <w:sz w:val="24"/>
                <w:szCs w:val="24"/>
              </w:rPr>
            </w:pPr>
            <w:r w:rsidRPr="00176DEE">
              <w:rPr>
                <w:b/>
                <w:sz w:val="32"/>
                <w:szCs w:val="32"/>
              </w:rPr>
              <w:lastRenderedPageBreak/>
              <w:t>CHAPTER 7</w:t>
            </w:r>
          </w:p>
        </w:tc>
      </w:tr>
    </w:tbl>
    <w:p w14:paraId="280CFBBF" w14:textId="20B6203C" w:rsidR="00BD617B" w:rsidRDefault="00BD617B" w:rsidP="00BD617B">
      <w:pPr>
        <w:rPr>
          <w:bCs/>
          <w:sz w:val="24"/>
          <w:szCs w:val="24"/>
        </w:rPr>
      </w:pPr>
    </w:p>
    <w:p w14:paraId="2F173984" w14:textId="7BC514DF" w:rsidR="00BD617B" w:rsidRPr="006635C4" w:rsidRDefault="00BD617B" w:rsidP="00B551AA">
      <w:pPr>
        <w:pStyle w:val="ListParagraph"/>
        <w:numPr>
          <w:ilvl w:val="0"/>
          <w:numId w:val="72"/>
        </w:numPr>
        <w:ind w:left="270" w:hanging="270"/>
        <w:rPr>
          <w:rStyle w:val="Level1DRAPChar"/>
          <w:bCs/>
        </w:rPr>
      </w:pPr>
      <w:bookmarkStart w:id="58" w:name="_Toc97895921"/>
      <w:bookmarkStart w:id="59" w:name="_Toc110329932"/>
      <w:r w:rsidRPr="006635C4">
        <w:rPr>
          <w:rStyle w:val="Level1DRAPChar"/>
          <w:bCs/>
        </w:rPr>
        <w:t>SIGNAL MANAGEMENT.</w:t>
      </w:r>
      <w:bookmarkEnd w:id="58"/>
      <w:bookmarkEnd w:id="59"/>
    </w:p>
    <w:p w14:paraId="05FF52C6" w14:textId="77777777" w:rsidR="00BD617B" w:rsidRDefault="00BD617B" w:rsidP="00BD617B">
      <w:pPr>
        <w:rPr>
          <w:bCs/>
          <w:sz w:val="24"/>
          <w:szCs w:val="24"/>
        </w:rPr>
      </w:pPr>
    </w:p>
    <w:p w14:paraId="004CA001" w14:textId="5A1475B5" w:rsidR="00BD617B" w:rsidRPr="00B801AC" w:rsidRDefault="00B801AC" w:rsidP="00B801AC">
      <w:pPr>
        <w:rPr>
          <w:b/>
          <w:bCs/>
          <w:sz w:val="28"/>
          <w:szCs w:val="28"/>
        </w:rPr>
      </w:pPr>
      <w:bookmarkStart w:id="60" w:name="_Toc97895922"/>
      <w:r w:rsidRPr="00B801AC">
        <w:rPr>
          <w:b/>
          <w:bCs/>
          <w:sz w:val="28"/>
          <w:szCs w:val="28"/>
        </w:rPr>
        <w:t xml:space="preserve">7.1 </w:t>
      </w:r>
      <w:r w:rsidR="00BD617B" w:rsidRPr="00B801AC">
        <w:rPr>
          <w:b/>
          <w:bCs/>
          <w:sz w:val="28"/>
          <w:szCs w:val="28"/>
          <w:u w:val="single"/>
        </w:rPr>
        <w:t>Definition of Signal</w:t>
      </w:r>
      <w:bookmarkEnd w:id="60"/>
    </w:p>
    <w:p w14:paraId="16A2ED7B" w14:textId="77777777" w:rsidR="00BD617B" w:rsidRPr="00B0455C" w:rsidRDefault="00BD617B" w:rsidP="00877AA1">
      <w:pPr>
        <w:spacing w:before="120" w:after="120" w:line="360" w:lineRule="auto"/>
        <w:ind w:left="547"/>
        <w:jc w:val="both"/>
        <w:rPr>
          <w:rFonts w:asciiTheme="majorBidi" w:hAnsiTheme="majorBidi" w:cstheme="majorBidi"/>
          <w:sz w:val="24"/>
          <w:szCs w:val="24"/>
        </w:rPr>
      </w:pPr>
      <w:r w:rsidRPr="00B0455C">
        <w:rPr>
          <w:rFonts w:asciiTheme="majorBidi" w:hAnsiTheme="majorBidi" w:cstheme="majorBidi"/>
          <w:sz w:val="24"/>
          <w:szCs w:val="24"/>
        </w:rPr>
        <w:t>World Health Organization define a signal as “</w:t>
      </w:r>
      <w:r w:rsidRPr="00656B40">
        <w:rPr>
          <w:rFonts w:asciiTheme="majorBidi" w:hAnsiTheme="majorBidi" w:cstheme="majorBidi"/>
          <w:i/>
          <w:iCs/>
          <w:sz w:val="24"/>
          <w:szCs w:val="24"/>
        </w:rPr>
        <w:t>reported information on a possible causal relationship between an adverse event and a drug or a therapeutic good, the relationship being unknown or incompletely documented previously. Usually, more than a single report is required to generate a signal, depending upon the seriousness of the event and the quality of the information. The publication of a signal usually implies the need for some kind of review or action”</w:t>
      </w:r>
    </w:p>
    <w:p w14:paraId="037D341F" w14:textId="7057E7FE" w:rsidR="00BD617B" w:rsidRPr="00B0455C" w:rsidRDefault="00BD617B" w:rsidP="00877AA1">
      <w:pPr>
        <w:pStyle w:val="ListParagraph"/>
        <w:spacing w:before="120" w:after="120" w:line="360" w:lineRule="auto"/>
        <w:ind w:left="547"/>
        <w:contextualSpacing w:val="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The more recent definition of a signal is given by </w:t>
      </w:r>
      <w:r w:rsidR="004A7F3C">
        <w:rPr>
          <w:rFonts w:asciiTheme="majorBidi" w:hAnsiTheme="majorBidi" w:cstheme="majorBidi"/>
          <w:color w:val="000000" w:themeColor="text1"/>
          <w:sz w:val="24"/>
          <w:szCs w:val="24"/>
        </w:rPr>
        <w:t xml:space="preserve">the </w:t>
      </w:r>
      <w:r w:rsidRPr="00B0455C">
        <w:rPr>
          <w:rFonts w:asciiTheme="majorBidi" w:hAnsiTheme="majorBidi" w:cstheme="majorBidi"/>
          <w:color w:val="000000" w:themeColor="text1"/>
          <w:sz w:val="24"/>
          <w:szCs w:val="24"/>
        </w:rPr>
        <w:t>CIOMS Medical Sciences working group in its report of 2010 which is defined as under:</w:t>
      </w:r>
    </w:p>
    <w:p w14:paraId="75454016" w14:textId="77777777" w:rsidR="00BD617B" w:rsidRPr="00656B40" w:rsidRDefault="00BD617B" w:rsidP="00877AA1">
      <w:pPr>
        <w:spacing w:before="120" w:after="120" w:line="360" w:lineRule="auto"/>
        <w:ind w:left="547"/>
        <w:jc w:val="both"/>
        <w:rPr>
          <w:rFonts w:asciiTheme="majorBidi" w:hAnsiTheme="majorBidi" w:cstheme="majorBidi"/>
          <w:bCs/>
          <w:color w:val="000000" w:themeColor="text1"/>
          <w:sz w:val="24"/>
          <w:szCs w:val="24"/>
        </w:rPr>
      </w:pPr>
      <w:r w:rsidRPr="00656B40">
        <w:rPr>
          <w:rFonts w:asciiTheme="majorBidi" w:hAnsiTheme="majorBidi" w:cstheme="majorBidi"/>
          <w:bCs/>
          <w:color w:val="000000" w:themeColor="text1"/>
          <w:sz w:val="24"/>
          <w:szCs w:val="24"/>
        </w:rPr>
        <w:t>“</w:t>
      </w:r>
      <w:r w:rsidRPr="00656B40">
        <w:rPr>
          <w:rFonts w:asciiTheme="majorBidi" w:hAnsiTheme="majorBidi" w:cstheme="majorBidi"/>
          <w:bCs/>
          <w:i/>
          <w:iCs/>
          <w:color w:val="000000" w:themeColor="text1"/>
          <w:sz w:val="24"/>
          <w:szCs w:val="24"/>
        </w:rPr>
        <w:t xml:space="preserve">Information that arises from one or multiple sources (including observations and experiments), which suggests a new potentially causal association, or a new aspect of a known association, between an intervention and an event or set of related events, either adverse or beneficial, that is judged to be of sufficient likelihood to justify </w:t>
      </w:r>
      <w:proofErr w:type="spellStart"/>
      <w:r w:rsidRPr="00656B40">
        <w:rPr>
          <w:rFonts w:asciiTheme="majorBidi" w:hAnsiTheme="majorBidi" w:cstheme="majorBidi"/>
          <w:bCs/>
          <w:i/>
          <w:iCs/>
          <w:color w:val="000000" w:themeColor="text1"/>
          <w:sz w:val="24"/>
          <w:szCs w:val="24"/>
        </w:rPr>
        <w:t>verificatory</w:t>
      </w:r>
      <w:proofErr w:type="spellEnd"/>
      <w:r w:rsidRPr="00656B40">
        <w:rPr>
          <w:rFonts w:asciiTheme="majorBidi" w:hAnsiTheme="majorBidi" w:cstheme="majorBidi"/>
          <w:bCs/>
          <w:i/>
          <w:iCs/>
          <w:color w:val="000000" w:themeColor="text1"/>
          <w:sz w:val="24"/>
          <w:szCs w:val="24"/>
        </w:rPr>
        <w:t xml:space="preserve"> action”.</w:t>
      </w:r>
    </w:p>
    <w:p w14:paraId="7CB8928B" w14:textId="3FCA4D3F" w:rsidR="00BD617B" w:rsidRPr="00B801AC" w:rsidRDefault="00B801AC" w:rsidP="00B101F9">
      <w:pPr>
        <w:spacing w:before="120" w:after="120"/>
        <w:rPr>
          <w:b/>
          <w:bCs/>
          <w:sz w:val="28"/>
          <w:szCs w:val="28"/>
        </w:rPr>
      </w:pPr>
      <w:bookmarkStart w:id="61" w:name="_Toc97895923"/>
      <w:r>
        <w:rPr>
          <w:b/>
          <w:bCs/>
          <w:sz w:val="28"/>
          <w:szCs w:val="28"/>
        </w:rPr>
        <w:t xml:space="preserve">7.2 </w:t>
      </w:r>
      <w:r w:rsidR="00BD617B" w:rsidRPr="00B801AC">
        <w:rPr>
          <w:b/>
          <w:bCs/>
          <w:sz w:val="28"/>
          <w:szCs w:val="28"/>
          <w:u w:val="single"/>
        </w:rPr>
        <w:t xml:space="preserve">Responsibilities of </w:t>
      </w:r>
      <w:bookmarkEnd w:id="61"/>
      <w:r w:rsidR="00B62D52" w:rsidRPr="00B801AC">
        <w:rPr>
          <w:b/>
          <w:bCs/>
          <w:sz w:val="28"/>
          <w:szCs w:val="28"/>
          <w:u w:val="single"/>
        </w:rPr>
        <w:t>NPC, DRAP.</w:t>
      </w:r>
    </w:p>
    <w:p w14:paraId="48C0A058" w14:textId="2002C8F0" w:rsidR="00B62D52" w:rsidRDefault="00B62D52" w:rsidP="00877AA1">
      <w:pPr>
        <w:widowControl/>
        <w:autoSpaceDE w:val="0"/>
        <w:autoSpaceDN w:val="0"/>
        <w:adjustRightInd w:val="0"/>
        <w:spacing w:before="120" w:after="120" w:line="360" w:lineRule="auto"/>
        <w:ind w:left="547"/>
        <w:jc w:val="both"/>
        <w:rPr>
          <w:color w:val="000000" w:themeColor="text1"/>
          <w:sz w:val="24"/>
          <w:szCs w:val="24"/>
        </w:rPr>
      </w:pPr>
      <w:r w:rsidRPr="00B62D52">
        <w:rPr>
          <w:color w:val="000000" w:themeColor="text1"/>
          <w:sz w:val="24"/>
          <w:szCs w:val="24"/>
        </w:rPr>
        <w:t>As per clause (iv) of sub-rule (1) of Rule 4</w:t>
      </w:r>
      <w:r>
        <w:rPr>
          <w:color w:val="000000" w:themeColor="text1"/>
          <w:sz w:val="24"/>
          <w:szCs w:val="24"/>
        </w:rPr>
        <w:t xml:space="preserve"> of </w:t>
      </w:r>
      <w:r w:rsidRPr="00B62D52">
        <w:rPr>
          <w:color w:val="000000" w:themeColor="text1"/>
          <w:sz w:val="24"/>
          <w:szCs w:val="24"/>
        </w:rPr>
        <w:t xml:space="preserve">Pharmacovigilance Rules, 2022 the NPC shall </w:t>
      </w:r>
      <w:r w:rsidRPr="00B62D52">
        <w:rPr>
          <w:rFonts w:eastAsiaTheme="minorHAnsi"/>
          <w:sz w:val="24"/>
          <w:szCs w:val="24"/>
          <w:lang w:val="en-US"/>
        </w:rPr>
        <w:t xml:space="preserve">monitor the database to determine whether there are new risks and whether those risks impact the risk-benefit balance of drugs or therapeutic goods and also periodically evaluate the database for new signals and submit these signals to PRAEC under clause (viii) </w:t>
      </w:r>
      <w:r w:rsidRPr="00B62D52">
        <w:rPr>
          <w:color w:val="000000" w:themeColor="text1"/>
          <w:sz w:val="24"/>
          <w:szCs w:val="24"/>
        </w:rPr>
        <w:t xml:space="preserve">) of sub-rule (1) of Rule 4 of </w:t>
      </w:r>
      <w:hyperlink r:id="rId72" w:history="1">
        <w:r w:rsidR="00EE7A37" w:rsidRPr="00D36A63">
          <w:rPr>
            <w:rStyle w:val="Hyperlink"/>
            <w:sz w:val="24"/>
            <w:szCs w:val="24"/>
          </w:rPr>
          <w:t xml:space="preserve">Pharmacovigilance </w:t>
        </w:r>
        <w:r w:rsidRPr="00D36A63">
          <w:rPr>
            <w:rStyle w:val="Hyperlink"/>
            <w:sz w:val="24"/>
            <w:szCs w:val="24"/>
          </w:rPr>
          <w:t>Rules, 2022</w:t>
        </w:r>
      </w:hyperlink>
      <w:r>
        <w:rPr>
          <w:color w:val="000000" w:themeColor="text1"/>
          <w:sz w:val="24"/>
          <w:szCs w:val="24"/>
        </w:rPr>
        <w:t xml:space="preserve">. Likewise, as per clause (b) of sub-rule 3 of Rule 6 of Pharmacovigilance Rules, 2022, the </w:t>
      </w:r>
      <w:r w:rsidR="007B258B">
        <w:rPr>
          <w:color w:val="000000" w:themeColor="text1"/>
          <w:sz w:val="24"/>
          <w:szCs w:val="24"/>
        </w:rPr>
        <w:t xml:space="preserve">Pharmacovigilance Officers </w:t>
      </w:r>
      <w:r>
        <w:rPr>
          <w:color w:val="000000" w:themeColor="text1"/>
          <w:sz w:val="24"/>
          <w:szCs w:val="24"/>
        </w:rPr>
        <w:t>at NPC shall perform the initial signal detection in groups or teams and accordingly validate these signals.</w:t>
      </w:r>
    </w:p>
    <w:p w14:paraId="672A2225" w14:textId="58A38326" w:rsidR="00B62D52" w:rsidRPr="00B62D52" w:rsidRDefault="004D0E88" w:rsidP="00877AA1">
      <w:pPr>
        <w:widowControl/>
        <w:autoSpaceDE w:val="0"/>
        <w:autoSpaceDN w:val="0"/>
        <w:adjustRightInd w:val="0"/>
        <w:spacing w:before="120" w:after="120" w:line="360" w:lineRule="auto"/>
        <w:ind w:left="547"/>
        <w:jc w:val="both"/>
        <w:rPr>
          <w:rFonts w:eastAsiaTheme="minorHAnsi"/>
          <w:sz w:val="24"/>
          <w:szCs w:val="24"/>
          <w:lang w:val="en-US"/>
        </w:rPr>
      </w:pPr>
      <w:r w:rsidRPr="00B62D52">
        <w:rPr>
          <w:rFonts w:eastAsiaTheme="minorHAnsi"/>
          <w:sz w:val="24"/>
          <w:szCs w:val="24"/>
          <w:lang w:val="en-US"/>
        </w:rPr>
        <w:t xml:space="preserve">As per clause (a), sub-rule (1) of Rule 10 of </w:t>
      </w:r>
      <w:hyperlink r:id="rId73" w:history="1">
        <w:r w:rsidRPr="00B72F5D">
          <w:rPr>
            <w:rStyle w:val="Hyperlink"/>
            <w:rFonts w:eastAsiaTheme="minorHAnsi"/>
            <w:sz w:val="24"/>
            <w:szCs w:val="24"/>
            <w:lang w:val="en-US"/>
          </w:rPr>
          <w:t>Pharmacovigilance Rules, 2022</w:t>
        </w:r>
      </w:hyperlink>
      <w:r>
        <w:rPr>
          <w:rFonts w:eastAsiaTheme="minorHAnsi"/>
          <w:sz w:val="24"/>
          <w:szCs w:val="24"/>
          <w:lang w:val="en-US"/>
        </w:rPr>
        <w:t>, t</w:t>
      </w:r>
      <w:r w:rsidR="00B62D52" w:rsidRPr="00B62D52">
        <w:rPr>
          <w:rFonts w:eastAsiaTheme="minorHAnsi"/>
          <w:sz w:val="24"/>
          <w:szCs w:val="24"/>
          <w:lang w:val="en-US"/>
        </w:rPr>
        <w:t xml:space="preserve">he PRAEC of the DRAP has the function to </w:t>
      </w:r>
      <w:r w:rsidR="00B62D52">
        <w:rPr>
          <w:rFonts w:eastAsiaTheme="minorHAnsi"/>
          <w:sz w:val="24"/>
          <w:szCs w:val="24"/>
          <w:lang w:val="en-US"/>
        </w:rPr>
        <w:t>c</w:t>
      </w:r>
      <w:r w:rsidR="00B62D52" w:rsidRPr="00B62D52">
        <w:rPr>
          <w:rFonts w:eastAsiaTheme="minorHAnsi"/>
          <w:sz w:val="24"/>
          <w:szCs w:val="24"/>
          <w:lang w:val="en-US"/>
        </w:rPr>
        <w:t>over all aspects of risk management associated with the use of therapeutic goods, i.e. signal detection, assessmen</w:t>
      </w:r>
      <w:r w:rsidR="00B62D52">
        <w:rPr>
          <w:rFonts w:eastAsiaTheme="minorHAnsi"/>
          <w:sz w:val="24"/>
          <w:szCs w:val="24"/>
          <w:lang w:val="en-US"/>
        </w:rPr>
        <w:t>t,</w:t>
      </w:r>
      <w:r w:rsidR="00B62D52" w:rsidRPr="00B62D52">
        <w:rPr>
          <w:rFonts w:eastAsiaTheme="minorHAnsi"/>
          <w:sz w:val="24"/>
          <w:szCs w:val="24"/>
          <w:lang w:val="en-US"/>
        </w:rPr>
        <w:t xml:space="preserve"> risk minimization and communication</w:t>
      </w:r>
      <w:r w:rsidR="00B62D52">
        <w:rPr>
          <w:rFonts w:eastAsiaTheme="minorHAnsi"/>
          <w:sz w:val="24"/>
          <w:szCs w:val="24"/>
          <w:lang w:val="en-US"/>
        </w:rPr>
        <w:t xml:space="preserve"> </w:t>
      </w:r>
      <w:r w:rsidR="00B62D52" w:rsidRPr="00B62D52">
        <w:rPr>
          <w:rFonts w:eastAsiaTheme="minorHAnsi"/>
          <w:sz w:val="24"/>
          <w:szCs w:val="24"/>
          <w:lang w:val="en-US"/>
        </w:rPr>
        <w:t>related to risks of adverse drug reaction</w:t>
      </w:r>
      <w:r w:rsidR="00B62D52">
        <w:rPr>
          <w:rFonts w:eastAsiaTheme="minorHAnsi"/>
          <w:sz w:val="24"/>
          <w:szCs w:val="24"/>
          <w:lang w:val="en-US"/>
        </w:rPr>
        <w:t xml:space="preserve">. The PRAEC also </w:t>
      </w:r>
      <w:r w:rsidR="00B62D52" w:rsidRPr="00B62D52">
        <w:rPr>
          <w:rFonts w:eastAsiaTheme="minorHAnsi"/>
          <w:sz w:val="24"/>
          <w:szCs w:val="24"/>
          <w:lang w:val="en-US"/>
        </w:rPr>
        <w:t>perform the initial analysis and</w:t>
      </w:r>
      <w:r w:rsidR="00B62D52">
        <w:rPr>
          <w:rFonts w:eastAsiaTheme="minorHAnsi"/>
          <w:sz w:val="24"/>
          <w:szCs w:val="24"/>
          <w:lang w:val="en-US"/>
        </w:rPr>
        <w:t xml:space="preserve"> </w:t>
      </w:r>
      <w:r w:rsidR="00B62D52" w:rsidRPr="00B62D52">
        <w:rPr>
          <w:rFonts w:eastAsiaTheme="minorHAnsi"/>
          <w:sz w:val="24"/>
          <w:szCs w:val="24"/>
          <w:lang w:val="en-US"/>
        </w:rPr>
        <w:t>prioritization of</w:t>
      </w:r>
      <w:r w:rsidR="00B62D52">
        <w:rPr>
          <w:rFonts w:eastAsiaTheme="minorHAnsi"/>
          <w:sz w:val="24"/>
          <w:szCs w:val="24"/>
          <w:lang w:val="en-US"/>
        </w:rPr>
        <w:t xml:space="preserve"> </w:t>
      </w:r>
      <w:r w:rsidR="00B62D52" w:rsidRPr="00B62D52">
        <w:rPr>
          <w:rFonts w:eastAsiaTheme="minorHAnsi"/>
          <w:sz w:val="24"/>
          <w:szCs w:val="24"/>
          <w:lang w:val="en-US"/>
        </w:rPr>
        <w:t>signals which are detected and validated by NPC. Similarly, as per other cl</w:t>
      </w:r>
      <w:r w:rsidR="00B62D52">
        <w:rPr>
          <w:rFonts w:eastAsiaTheme="minorHAnsi"/>
          <w:sz w:val="24"/>
          <w:szCs w:val="24"/>
          <w:lang w:val="en-US"/>
        </w:rPr>
        <w:t>au</w:t>
      </w:r>
      <w:r w:rsidR="00B62D52" w:rsidRPr="00B62D52">
        <w:rPr>
          <w:rFonts w:eastAsiaTheme="minorHAnsi"/>
          <w:sz w:val="24"/>
          <w:szCs w:val="24"/>
          <w:lang w:val="en-US"/>
        </w:rPr>
        <w:t xml:space="preserve">ses of sub-rule (1) of Rule 10 of </w:t>
      </w:r>
      <w:hyperlink r:id="rId74" w:history="1">
        <w:r w:rsidR="00B62D52" w:rsidRPr="005F2E7A">
          <w:rPr>
            <w:rStyle w:val="Hyperlink"/>
            <w:rFonts w:eastAsiaTheme="minorHAnsi"/>
            <w:sz w:val="24"/>
            <w:szCs w:val="24"/>
            <w:lang w:val="en-US"/>
          </w:rPr>
          <w:t>Pharmacovigilance Rules, 2022</w:t>
        </w:r>
      </w:hyperlink>
      <w:r w:rsidR="00B62D52" w:rsidRPr="00B62D52">
        <w:rPr>
          <w:rFonts w:eastAsiaTheme="minorHAnsi"/>
          <w:sz w:val="24"/>
          <w:szCs w:val="24"/>
          <w:lang w:val="en-US"/>
        </w:rPr>
        <w:t xml:space="preserve">, the PRAEC will </w:t>
      </w:r>
      <w:r w:rsidR="00B62D52" w:rsidRPr="00B62D52">
        <w:rPr>
          <w:rFonts w:eastAsiaTheme="minorHAnsi"/>
          <w:sz w:val="24"/>
          <w:szCs w:val="24"/>
          <w:lang w:val="en-US"/>
        </w:rPr>
        <w:lastRenderedPageBreak/>
        <w:t xml:space="preserve">perform </w:t>
      </w:r>
      <w:r w:rsidR="00A265FF">
        <w:rPr>
          <w:rFonts w:eastAsiaTheme="minorHAnsi"/>
          <w:sz w:val="24"/>
          <w:szCs w:val="24"/>
          <w:lang w:val="en-US"/>
        </w:rPr>
        <w:t xml:space="preserve">the </w:t>
      </w:r>
      <w:r w:rsidR="00B62D52" w:rsidRPr="00B62D52">
        <w:rPr>
          <w:rFonts w:eastAsiaTheme="minorHAnsi"/>
          <w:sz w:val="24"/>
          <w:szCs w:val="24"/>
          <w:lang w:val="en-US"/>
        </w:rPr>
        <w:t>benefit</w:t>
      </w:r>
      <w:r w:rsidR="00B62D52">
        <w:rPr>
          <w:rFonts w:eastAsiaTheme="minorHAnsi"/>
          <w:sz w:val="24"/>
          <w:szCs w:val="24"/>
          <w:lang w:val="en-US"/>
        </w:rPr>
        <w:t>-</w:t>
      </w:r>
      <w:r w:rsidR="00B62D52" w:rsidRPr="00B62D52">
        <w:rPr>
          <w:rFonts w:eastAsiaTheme="minorHAnsi"/>
          <w:sz w:val="24"/>
          <w:szCs w:val="24"/>
          <w:lang w:val="en-US"/>
        </w:rPr>
        <w:t>risk assessment, evaluation of signal</w:t>
      </w:r>
      <w:r>
        <w:rPr>
          <w:rFonts w:eastAsiaTheme="minorHAnsi"/>
          <w:sz w:val="24"/>
          <w:szCs w:val="24"/>
          <w:lang w:val="en-US"/>
        </w:rPr>
        <w:t>s</w:t>
      </w:r>
      <w:r w:rsidR="00B62D52" w:rsidRPr="00B62D52">
        <w:rPr>
          <w:rFonts w:eastAsiaTheme="minorHAnsi"/>
          <w:sz w:val="24"/>
          <w:szCs w:val="24"/>
          <w:lang w:val="en-US"/>
        </w:rPr>
        <w:t xml:space="preserve"> and subse</w:t>
      </w:r>
      <w:r w:rsidR="00B62D52">
        <w:rPr>
          <w:rFonts w:eastAsiaTheme="minorHAnsi"/>
          <w:sz w:val="24"/>
          <w:szCs w:val="24"/>
          <w:lang w:val="en-US"/>
        </w:rPr>
        <w:t>q</w:t>
      </w:r>
      <w:r w:rsidR="00B62D52" w:rsidRPr="00B62D52">
        <w:rPr>
          <w:rFonts w:eastAsiaTheme="minorHAnsi"/>
          <w:sz w:val="24"/>
          <w:szCs w:val="24"/>
          <w:lang w:val="en-US"/>
        </w:rPr>
        <w:t xml:space="preserve">uent recommendation of regulatory actions to </w:t>
      </w:r>
      <w:r w:rsidR="00A265FF">
        <w:rPr>
          <w:rFonts w:eastAsiaTheme="minorHAnsi"/>
          <w:sz w:val="24"/>
          <w:szCs w:val="24"/>
          <w:lang w:val="en-US"/>
        </w:rPr>
        <w:t xml:space="preserve">the </w:t>
      </w:r>
      <w:r w:rsidR="00B62D52" w:rsidRPr="00B62D52">
        <w:rPr>
          <w:rFonts w:eastAsiaTheme="minorHAnsi"/>
          <w:sz w:val="24"/>
          <w:szCs w:val="24"/>
          <w:lang w:val="en-US"/>
        </w:rPr>
        <w:t xml:space="preserve">concerned </w:t>
      </w:r>
      <w:r w:rsidR="00E96916" w:rsidRPr="00B62D52">
        <w:rPr>
          <w:rFonts w:eastAsiaTheme="minorHAnsi"/>
          <w:sz w:val="24"/>
          <w:szCs w:val="24"/>
          <w:lang w:val="en-US"/>
        </w:rPr>
        <w:t>Board</w:t>
      </w:r>
      <w:r w:rsidR="00B62D52" w:rsidRPr="00B62D52">
        <w:rPr>
          <w:rFonts w:eastAsiaTheme="minorHAnsi"/>
          <w:sz w:val="24"/>
          <w:szCs w:val="24"/>
          <w:lang w:val="en-US"/>
        </w:rPr>
        <w:t>/</w:t>
      </w:r>
      <w:r w:rsidR="00E96916" w:rsidRPr="00B62D52">
        <w:rPr>
          <w:rFonts w:eastAsiaTheme="minorHAnsi"/>
          <w:sz w:val="24"/>
          <w:szCs w:val="24"/>
          <w:lang w:val="en-US"/>
        </w:rPr>
        <w:t xml:space="preserve">Committee </w:t>
      </w:r>
      <w:r w:rsidR="00B62D52" w:rsidRPr="00B62D52">
        <w:rPr>
          <w:rFonts w:eastAsiaTheme="minorHAnsi"/>
          <w:sz w:val="24"/>
          <w:szCs w:val="24"/>
          <w:lang w:val="en-US"/>
        </w:rPr>
        <w:t>or Divisions for the confirmed evaluated signals.</w:t>
      </w:r>
    </w:p>
    <w:p w14:paraId="7F07CDD6" w14:textId="6CA0E184" w:rsidR="00BD617B" w:rsidRPr="00F95153" w:rsidRDefault="00F95153" w:rsidP="009A74D2">
      <w:pPr>
        <w:spacing w:before="120" w:after="120" w:line="360" w:lineRule="auto"/>
        <w:rPr>
          <w:b/>
          <w:bCs/>
          <w:sz w:val="28"/>
          <w:szCs w:val="28"/>
          <w:u w:val="single"/>
        </w:rPr>
      </w:pPr>
      <w:bookmarkStart w:id="62" w:name="_Toc97895924"/>
      <w:r w:rsidRPr="00F95153">
        <w:rPr>
          <w:b/>
          <w:bCs/>
          <w:sz w:val="28"/>
          <w:szCs w:val="28"/>
        </w:rPr>
        <w:t>7.3</w:t>
      </w:r>
      <w:r>
        <w:rPr>
          <w:b/>
          <w:bCs/>
          <w:sz w:val="28"/>
          <w:szCs w:val="28"/>
          <w:u w:val="single"/>
        </w:rPr>
        <w:t xml:space="preserve"> </w:t>
      </w:r>
      <w:r w:rsidR="00BD617B" w:rsidRPr="00F95153">
        <w:rPr>
          <w:b/>
          <w:bCs/>
          <w:sz w:val="28"/>
          <w:szCs w:val="28"/>
          <w:u w:val="single"/>
        </w:rPr>
        <w:t>Signal Management Process</w:t>
      </w:r>
      <w:bookmarkEnd w:id="62"/>
    </w:p>
    <w:p w14:paraId="69708B8B" w14:textId="77777777" w:rsidR="00BD617B" w:rsidRPr="00B0455C" w:rsidRDefault="00BD617B" w:rsidP="009A74D2">
      <w:pPr>
        <w:pStyle w:val="ListParagraph"/>
        <w:spacing w:before="120" w:after="120" w:line="360" w:lineRule="auto"/>
        <w:ind w:left="540"/>
        <w:contextualSpacing w:val="0"/>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A set of activities performed to determine whether, based on an examination of individual case safety reports (ICSRs), aggregated data from active surveillance systems or studies, scientific literature information or other data sources, there are new risks associated with an active substance or a therapeutic good or whether known risks have changed, as well as any related recommendations, decisions, communications and tracking.</w:t>
      </w:r>
    </w:p>
    <w:p w14:paraId="1DA636A1" w14:textId="264BDCA0" w:rsidR="00BD617B" w:rsidRPr="00B0455C" w:rsidRDefault="00BD617B" w:rsidP="009A74D2">
      <w:pPr>
        <w:spacing w:before="120" w:after="120" w:line="360" w:lineRule="auto"/>
        <w:ind w:left="540"/>
        <w:jc w:val="both"/>
        <w:rPr>
          <w:rFonts w:asciiTheme="majorBidi" w:hAnsiTheme="majorBidi" w:cstheme="majorBidi"/>
        </w:rPr>
      </w:pPr>
      <w:r w:rsidRPr="00B0455C">
        <w:rPr>
          <w:rFonts w:asciiTheme="majorBidi" w:hAnsiTheme="majorBidi" w:cstheme="majorBidi"/>
          <w:color w:val="000000" w:themeColor="text1"/>
          <w:sz w:val="24"/>
          <w:szCs w:val="24"/>
        </w:rPr>
        <w:t>The signal management process concerns all stakeholders involved, but, more specifically registration holders</w:t>
      </w:r>
      <w:r w:rsidR="00412BBF">
        <w:rPr>
          <w:rFonts w:asciiTheme="majorBidi" w:hAnsiTheme="majorBidi" w:cstheme="majorBidi"/>
          <w:color w:val="000000" w:themeColor="text1"/>
          <w:sz w:val="24"/>
          <w:szCs w:val="24"/>
        </w:rPr>
        <w:t xml:space="preserve">, PPCs and </w:t>
      </w:r>
      <w:r w:rsidRPr="00B0455C">
        <w:rPr>
          <w:rFonts w:asciiTheme="majorBidi" w:hAnsiTheme="majorBidi" w:cstheme="majorBidi"/>
          <w:color w:val="000000" w:themeColor="text1"/>
          <w:sz w:val="24"/>
          <w:szCs w:val="24"/>
        </w:rPr>
        <w:t>NPC, DRAP. Whereas the ADRs database will be a major source of pharmacovigilance information, the signal management process covers signals arising from any source, only signals related to an adverse reaction shall be considered</w:t>
      </w:r>
      <w:r w:rsidR="00B1768C">
        <w:rPr>
          <w:rFonts w:asciiTheme="majorBidi" w:hAnsiTheme="majorBidi" w:cstheme="majorBidi"/>
          <w:color w:val="000000" w:themeColor="text1"/>
          <w:sz w:val="24"/>
          <w:szCs w:val="24"/>
        </w:rPr>
        <w:t>.</w:t>
      </w:r>
    </w:p>
    <w:p w14:paraId="38DAB1CB" w14:textId="0BC389F4" w:rsidR="007D1100" w:rsidRPr="00F95153" w:rsidRDefault="007D1100" w:rsidP="007D1100">
      <w:pPr>
        <w:spacing w:before="120" w:after="120" w:line="360" w:lineRule="auto"/>
        <w:rPr>
          <w:b/>
          <w:bCs/>
          <w:sz w:val="28"/>
          <w:szCs w:val="28"/>
          <w:u w:val="single"/>
        </w:rPr>
      </w:pPr>
      <w:r w:rsidRPr="00F95153">
        <w:rPr>
          <w:b/>
          <w:bCs/>
          <w:sz w:val="28"/>
          <w:szCs w:val="28"/>
        </w:rPr>
        <w:t>7.</w:t>
      </w:r>
      <w:r>
        <w:rPr>
          <w:b/>
          <w:bCs/>
          <w:sz w:val="28"/>
          <w:szCs w:val="28"/>
        </w:rPr>
        <w:t>4</w:t>
      </w:r>
      <w:r>
        <w:rPr>
          <w:b/>
          <w:bCs/>
          <w:sz w:val="28"/>
          <w:szCs w:val="28"/>
          <w:u w:val="single"/>
        </w:rPr>
        <w:t xml:space="preserve"> </w:t>
      </w:r>
      <w:r w:rsidRPr="00F95153">
        <w:rPr>
          <w:b/>
          <w:bCs/>
          <w:sz w:val="28"/>
          <w:szCs w:val="28"/>
          <w:u w:val="single"/>
        </w:rPr>
        <w:t>Signal Management Process</w:t>
      </w:r>
    </w:p>
    <w:p w14:paraId="380BEDD7" w14:textId="0B7B8CBE" w:rsidR="00BD617B" w:rsidRPr="00B0455C" w:rsidRDefault="00BD617B" w:rsidP="00700A59">
      <w:pPr>
        <w:pStyle w:val="ListParagraph"/>
        <w:spacing w:before="120" w:after="120" w:line="360" w:lineRule="auto"/>
        <w:ind w:left="540"/>
        <w:contextualSpacing w:val="0"/>
        <w:jc w:val="both"/>
        <w:rPr>
          <w:rFonts w:asciiTheme="majorBidi" w:hAnsiTheme="majorBidi" w:cstheme="majorBidi"/>
          <w:color w:val="000000" w:themeColor="text1"/>
          <w:sz w:val="24"/>
          <w:szCs w:val="24"/>
        </w:rPr>
      </w:pPr>
      <w:r w:rsidRPr="00B0455C">
        <w:rPr>
          <w:rFonts w:asciiTheme="majorBidi" w:hAnsiTheme="majorBidi" w:cstheme="majorBidi"/>
          <w:sz w:val="24"/>
          <w:szCs w:val="24"/>
        </w:rPr>
        <w:t xml:space="preserve">Signals detected through any sources should be handled according to </w:t>
      </w:r>
      <w:r w:rsidR="00706D81">
        <w:rPr>
          <w:rFonts w:asciiTheme="majorBidi" w:hAnsiTheme="majorBidi" w:cstheme="majorBidi"/>
          <w:sz w:val="24"/>
          <w:szCs w:val="24"/>
        </w:rPr>
        <w:t xml:space="preserve">NPC’s </w:t>
      </w:r>
      <w:r w:rsidRPr="00B0455C">
        <w:rPr>
          <w:rFonts w:asciiTheme="majorBidi" w:hAnsiTheme="majorBidi" w:cstheme="majorBidi"/>
          <w:sz w:val="24"/>
          <w:szCs w:val="24"/>
        </w:rPr>
        <w:t xml:space="preserve">own signal management process, </w:t>
      </w:r>
      <w:proofErr w:type="gramStart"/>
      <w:r w:rsidRPr="00B0455C">
        <w:rPr>
          <w:rFonts w:asciiTheme="majorBidi" w:hAnsiTheme="majorBidi" w:cstheme="majorBidi"/>
          <w:sz w:val="24"/>
          <w:szCs w:val="24"/>
        </w:rPr>
        <w:t>taking into account</w:t>
      </w:r>
      <w:proofErr w:type="gramEnd"/>
      <w:r w:rsidRPr="00B0455C">
        <w:rPr>
          <w:rFonts w:asciiTheme="majorBidi" w:hAnsiTheme="majorBidi" w:cstheme="majorBidi"/>
          <w:sz w:val="24"/>
          <w:szCs w:val="24"/>
        </w:rPr>
        <w:t xml:space="preserve"> the general principles outlined below.</w:t>
      </w:r>
      <w:r w:rsidR="00C67C02">
        <w:rPr>
          <w:rFonts w:asciiTheme="majorBidi" w:hAnsiTheme="majorBidi" w:cstheme="majorBidi"/>
          <w:sz w:val="24"/>
          <w:szCs w:val="24"/>
        </w:rPr>
        <w:t xml:space="preserve"> The below</w:t>
      </w:r>
      <w:r w:rsidR="00EB593D">
        <w:rPr>
          <w:rFonts w:asciiTheme="majorBidi" w:hAnsiTheme="majorBidi" w:cstheme="majorBidi"/>
          <w:sz w:val="24"/>
          <w:szCs w:val="24"/>
        </w:rPr>
        <w:t>-</w:t>
      </w:r>
      <w:r w:rsidR="00C67C02">
        <w:rPr>
          <w:rFonts w:asciiTheme="majorBidi" w:hAnsiTheme="majorBidi" w:cstheme="majorBidi"/>
          <w:sz w:val="24"/>
          <w:szCs w:val="24"/>
        </w:rPr>
        <w:t>mentioned steps are undertaken jointly or individually by the pharmacovigilance officers, signal review group</w:t>
      </w:r>
      <w:r w:rsidR="00173508">
        <w:rPr>
          <w:rFonts w:asciiTheme="majorBidi" w:hAnsiTheme="majorBidi" w:cstheme="majorBidi"/>
          <w:sz w:val="24"/>
          <w:szCs w:val="24"/>
        </w:rPr>
        <w:t>s</w:t>
      </w:r>
      <w:r w:rsidR="00C67C02">
        <w:rPr>
          <w:rFonts w:asciiTheme="majorBidi" w:hAnsiTheme="majorBidi" w:cstheme="majorBidi"/>
          <w:sz w:val="24"/>
          <w:szCs w:val="24"/>
        </w:rPr>
        <w:t xml:space="preserve">, </w:t>
      </w:r>
      <w:r w:rsidR="009050FE">
        <w:rPr>
          <w:rFonts w:asciiTheme="majorBidi" w:hAnsiTheme="majorBidi" w:cstheme="majorBidi"/>
          <w:sz w:val="24"/>
          <w:szCs w:val="24"/>
        </w:rPr>
        <w:t>or the</w:t>
      </w:r>
      <w:r w:rsidR="00C67C02">
        <w:rPr>
          <w:rFonts w:asciiTheme="majorBidi" w:hAnsiTheme="majorBidi" w:cstheme="majorBidi"/>
          <w:sz w:val="24"/>
          <w:szCs w:val="24"/>
        </w:rPr>
        <w:t xml:space="preserve"> PRAEC.</w:t>
      </w:r>
      <w:r w:rsidRPr="00B0455C">
        <w:rPr>
          <w:rFonts w:asciiTheme="majorBidi" w:hAnsiTheme="majorBidi" w:cstheme="majorBidi"/>
          <w:sz w:val="24"/>
          <w:szCs w:val="24"/>
        </w:rPr>
        <w:t xml:space="preserve"> </w:t>
      </w:r>
      <w:r w:rsidRPr="00B0455C">
        <w:rPr>
          <w:rFonts w:asciiTheme="majorBidi" w:hAnsiTheme="majorBidi" w:cstheme="majorBidi"/>
          <w:color w:val="000000" w:themeColor="text1"/>
          <w:sz w:val="24"/>
          <w:szCs w:val="24"/>
        </w:rPr>
        <w:t>The signal management process covers all steps from detecting signals to recommending action(s) as follows:</w:t>
      </w:r>
    </w:p>
    <w:p w14:paraId="3CB0276C" w14:textId="235F95F4" w:rsidR="00BD617B" w:rsidRPr="0034316E" w:rsidRDefault="00937F6A" w:rsidP="00264C2E">
      <w:pPr>
        <w:spacing w:before="120" w:after="120" w:line="360" w:lineRule="auto"/>
        <w:ind w:left="900" w:hanging="360"/>
        <w:rPr>
          <w:i/>
          <w:iCs/>
          <w:sz w:val="24"/>
          <w:szCs w:val="24"/>
        </w:rPr>
      </w:pPr>
      <w:bookmarkStart w:id="63" w:name="_Toc97895926"/>
      <w:r w:rsidRPr="0034316E">
        <w:rPr>
          <w:i/>
          <w:iCs/>
          <w:sz w:val="24"/>
          <w:szCs w:val="24"/>
        </w:rPr>
        <w:t xml:space="preserve">7.4.1 </w:t>
      </w:r>
      <w:r w:rsidR="00BD617B" w:rsidRPr="0034316E">
        <w:rPr>
          <w:i/>
          <w:iCs/>
          <w:sz w:val="24"/>
          <w:szCs w:val="24"/>
        </w:rPr>
        <w:t>Signal Detection</w:t>
      </w:r>
      <w:bookmarkEnd w:id="63"/>
    </w:p>
    <w:p w14:paraId="4CE53DAA" w14:textId="4F9E0D51" w:rsidR="00BD617B" w:rsidRPr="0034316E" w:rsidRDefault="00BD617B" w:rsidP="00264C2E">
      <w:pPr>
        <w:spacing w:before="120" w:after="120" w:line="360" w:lineRule="auto"/>
        <w:ind w:left="900"/>
        <w:jc w:val="both"/>
        <w:rPr>
          <w:rFonts w:asciiTheme="majorBidi" w:hAnsiTheme="majorBidi" w:cstheme="majorBidi"/>
          <w:sz w:val="24"/>
          <w:szCs w:val="24"/>
        </w:rPr>
      </w:pPr>
      <w:r w:rsidRPr="0034316E">
        <w:rPr>
          <w:rFonts w:asciiTheme="majorBidi" w:hAnsiTheme="majorBidi" w:cstheme="majorBidi"/>
          <w:color w:val="000000" w:themeColor="text1"/>
          <w:sz w:val="24"/>
          <w:szCs w:val="24"/>
        </w:rPr>
        <w:t xml:space="preserve">The process of looking for and/or identifying signals using data from any source. </w:t>
      </w:r>
      <w:r w:rsidRPr="0034316E">
        <w:rPr>
          <w:rFonts w:asciiTheme="majorBidi" w:hAnsiTheme="majorBidi" w:cstheme="majorBidi"/>
          <w:sz w:val="24"/>
          <w:szCs w:val="24"/>
        </w:rPr>
        <w:t xml:space="preserve">Signal detection may involve a review of ICSRs, statistical analyses, or a combination of both, depending on the size of the data set. When it is not relevant or feasible to assess each case (e.g. signals detected from published studies, healthcare record data), </w:t>
      </w:r>
      <w:r w:rsidR="000201A2">
        <w:rPr>
          <w:rFonts w:asciiTheme="majorBidi" w:hAnsiTheme="majorBidi" w:cstheme="majorBidi"/>
          <w:sz w:val="24"/>
          <w:szCs w:val="24"/>
        </w:rPr>
        <w:t xml:space="preserve">an </w:t>
      </w:r>
      <w:r w:rsidRPr="0034316E">
        <w:rPr>
          <w:rFonts w:asciiTheme="majorBidi" w:hAnsiTheme="majorBidi" w:cstheme="majorBidi"/>
          <w:sz w:val="24"/>
          <w:szCs w:val="24"/>
        </w:rPr>
        <w:t>assessment of aggregated data should be considered.</w:t>
      </w:r>
    </w:p>
    <w:p w14:paraId="22E40AF7" w14:textId="1D791577" w:rsidR="00E96916" w:rsidRPr="00DC371F" w:rsidRDefault="00E96916" w:rsidP="00264C2E">
      <w:pPr>
        <w:spacing w:before="120" w:after="120" w:line="360" w:lineRule="auto"/>
        <w:ind w:left="900"/>
        <w:jc w:val="both"/>
        <w:rPr>
          <w:rFonts w:eastAsiaTheme="minorEastAsia"/>
          <w:color w:val="000000" w:themeColor="text1"/>
          <w:kern w:val="24"/>
          <w:sz w:val="40"/>
          <w:szCs w:val="40"/>
        </w:rPr>
      </w:pPr>
      <w:r w:rsidRPr="00DC371F">
        <w:rPr>
          <w:bCs/>
          <w:color w:val="000000" w:themeColor="text1"/>
          <w:sz w:val="24"/>
          <w:szCs w:val="24"/>
        </w:rPr>
        <w:t>Signal detection can be of two types: hypothesis</w:t>
      </w:r>
      <w:r w:rsidR="000201A2" w:rsidRPr="00DC371F">
        <w:rPr>
          <w:bCs/>
          <w:color w:val="000000" w:themeColor="text1"/>
          <w:sz w:val="24"/>
          <w:szCs w:val="24"/>
        </w:rPr>
        <w:t>-</w:t>
      </w:r>
      <w:r w:rsidRPr="00DC371F">
        <w:rPr>
          <w:bCs/>
          <w:color w:val="000000" w:themeColor="text1"/>
          <w:sz w:val="24"/>
          <w:szCs w:val="24"/>
        </w:rPr>
        <w:t>driven signal detection</w:t>
      </w:r>
      <w:r w:rsidR="00D85FDF" w:rsidRPr="00DC371F">
        <w:rPr>
          <w:bCs/>
          <w:color w:val="000000" w:themeColor="text1"/>
          <w:sz w:val="24"/>
          <w:szCs w:val="24"/>
        </w:rPr>
        <w:t xml:space="preserve"> (qualitative method)</w:t>
      </w:r>
      <w:r w:rsidRPr="00DC371F">
        <w:rPr>
          <w:bCs/>
          <w:color w:val="000000" w:themeColor="text1"/>
          <w:sz w:val="24"/>
          <w:szCs w:val="24"/>
        </w:rPr>
        <w:t xml:space="preserve"> wherein an assessor proposes either </w:t>
      </w:r>
      <w:r w:rsidR="000201A2" w:rsidRPr="00DC371F">
        <w:rPr>
          <w:bCs/>
          <w:color w:val="000000" w:themeColor="text1"/>
          <w:sz w:val="24"/>
          <w:szCs w:val="24"/>
        </w:rPr>
        <w:t xml:space="preserve">the </w:t>
      </w:r>
      <w:r w:rsidRPr="00DC371F">
        <w:rPr>
          <w:bCs/>
          <w:color w:val="000000" w:themeColor="text1"/>
          <w:sz w:val="24"/>
          <w:szCs w:val="24"/>
        </w:rPr>
        <w:t xml:space="preserve">new causal relationship between drug and event or </w:t>
      </w:r>
      <w:r w:rsidR="000201A2" w:rsidRPr="00DC371F">
        <w:rPr>
          <w:bCs/>
          <w:color w:val="000000" w:themeColor="text1"/>
          <w:sz w:val="24"/>
          <w:szCs w:val="24"/>
        </w:rPr>
        <w:t xml:space="preserve">a </w:t>
      </w:r>
      <w:r w:rsidRPr="00DC371F">
        <w:rPr>
          <w:bCs/>
          <w:color w:val="000000" w:themeColor="text1"/>
          <w:sz w:val="24"/>
          <w:szCs w:val="24"/>
        </w:rPr>
        <w:t xml:space="preserve">new aspect of </w:t>
      </w:r>
      <w:r w:rsidR="000201A2" w:rsidRPr="00DC371F">
        <w:rPr>
          <w:bCs/>
          <w:color w:val="000000" w:themeColor="text1"/>
          <w:sz w:val="24"/>
          <w:szCs w:val="24"/>
        </w:rPr>
        <w:t xml:space="preserve">a </w:t>
      </w:r>
      <w:r w:rsidRPr="00DC371F">
        <w:rPr>
          <w:bCs/>
          <w:color w:val="000000" w:themeColor="text1"/>
          <w:sz w:val="24"/>
          <w:szCs w:val="24"/>
        </w:rPr>
        <w:t>known relationship; and Data mining-data</w:t>
      </w:r>
      <w:r w:rsidR="000201A2" w:rsidRPr="00DC371F">
        <w:rPr>
          <w:bCs/>
          <w:color w:val="000000" w:themeColor="text1"/>
          <w:sz w:val="24"/>
          <w:szCs w:val="24"/>
        </w:rPr>
        <w:t>-</w:t>
      </w:r>
      <w:r w:rsidRPr="00DC371F">
        <w:rPr>
          <w:bCs/>
          <w:color w:val="000000" w:themeColor="text1"/>
          <w:sz w:val="24"/>
          <w:szCs w:val="24"/>
        </w:rPr>
        <w:t>driven signal detection</w:t>
      </w:r>
      <w:r w:rsidR="00D85FDF" w:rsidRPr="00DC371F">
        <w:rPr>
          <w:bCs/>
          <w:color w:val="000000" w:themeColor="text1"/>
          <w:sz w:val="24"/>
          <w:szCs w:val="24"/>
        </w:rPr>
        <w:t xml:space="preserve"> (</w:t>
      </w:r>
      <w:proofErr w:type="spellStart"/>
      <w:r w:rsidR="00D85FDF" w:rsidRPr="00DC371F">
        <w:rPr>
          <w:bCs/>
          <w:color w:val="000000" w:themeColor="text1"/>
          <w:sz w:val="24"/>
          <w:szCs w:val="24"/>
        </w:rPr>
        <w:t>quantitive</w:t>
      </w:r>
      <w:proofErr w:type="spellEnd"/>
      <w:r w:rsidR="00D85FDF" w:rsidRPr="00DC371F">
        <w:rPr>
          <w:bCs/>
          <w:color w:val="000000" w:themeColor="text1"/>
          <w:sz w:val="24"/>
          <w:szCs w:val="24"/>
        </w:rPr>
        <w:t xml:space="preserve"> method)</w:t>
      </w:r>
      <w:r w:rsidRPr="00DC371F">
        <w:rPr>
          <w:bCs/>
          <w:color w:val="000000" w:themeColor="text1"/>
          <w:sz w:val="24"/>
          <w:szCs w:val="24"/>
        </w:rPr>
        <w:t xml:space="preserve">, wherein </w:t>
      </w:r>
      <w:r w:rsidR="000201A2" w:rsidRPr="00DC371F">
        <w:rPr>
          <w:bCs/>
          <w:color w:val="000000" w:themeColor="text1"/>
          <w:sz w:val="24"/>
          <w:szCs w:val="24"/>
        </w:rPr>
        <w:t xml:space="preserve">a </w:t>
      </w:r>
      <w:r w:rsidRPr="00DC371F">
        <w:rPr>
          <w:bCs/>
          <w:color w:val="000000" w:themeColor="text1"/>
          <w:sz w:val="24"/>
          <w:szCs w:val="24"/>
        </w:rPr>
        <w:t>signal is either automatically or manually f</w:t>
      </w:r>
      <w:r w:rsidR="000201A2" w:rsidRPr="00DC371F">
        <w:rPr>
          <w:bCs/>
          <w:color w:val="000000" w:themeColor="text1"/>
          <w:sz w:val="24"/>
          <w:szCs w:val="24"/>
        </w:rPr>
        <w:t>ou</w:t>
      </w:r>
      <w:r w:rsidRPr="00DC371F">
        <w:rPr>
          <w:bCs/>
          <w:color w:val="000000" w:themeColor="text1"/>
          <w:sz w:val="24"/>
          <w:szCs w:val="24"/>
        </w:rPr>
        <w:t xml:space="preserve">nd in </w:t>
      </w:r>
      <w:r w:rsidR="000201A2" w:rsidRPr="00DC371F">
        <w:rPr>
          <w:bCs/>
          <w:color w:val="000000" w:themeColor="text1"/>
          <w:sz w:val="24"/>
          <w:szCs w:val="24"/>
        </w:rPr>
        <w:t xml:space="preserve">a </w:t>
      </w:r>
      <w:r w:rsidRPr="00DC371F">
        <w:rPr>
          <w:bCs/>
          <w:color w:val="000000" w:themeColor="text1"/>
          <w:sz w:val="24"/>
          <w:szCs w:val="24"/>
        </w:rPr>
        <w:t>large database</w:t>
      </w:r>
      <w:r w:rsidR="00053F32" w:rsidRPr="00DC371F">
        <w:rPr>
          <w:bCs/>
          <w:color w:val="000000" w:themeColor="text1"/>
          <w:sz w:val="24"/>
          <w:szCs w:val="24"/>
        </w:rPr>
        <w:t xml:space="preserve"> using statistical tools</w:t>
      </w:r>
      <w:r w:rsidRPr="00DC371F">
        <w:rPr>
          <w:bCs/>
          <w:color w:val="000000" w:themeColor="text1"/>
          <w:sz w:val="24"/>
          <w:szCs w:val="24"/>
        </w:rPr>
        <w:t>. Signal</w:t>
      </w:r>
      <w:r w:rsidR="000201A2" w:rsidRPr="00DC371F">
        <w:rPr>
          <w:bCs/>
          <w:color w:val="000000" w:themeColor="text1"/>
          <w:sz w:val="24"/>
          <w:szCs w:val="24"/>
        </w:rPr>
        <w:t>s</w:t>
      </w:r>
      <w:r w:rsidRPr="00DC371F">
        <w:rPr>
          <w:bCs/>
          <w:color w:val="000000" w:themeColor="text1"/>
          <w:sz w:val="24"/>
          <w:szCs w:val="24"/>
        </w:rPr>
        <w:t xml:space="preserve"> are triggered by the following:</w:t>
      </w:r>
      <w:r w:rsidRPr="00DC371F">
        <w:rPr>
          <w:rFonts w:eastAsiaTheme="minorEastAsia"/>
          <w:color w:val="000000" w:themeColor="text1"/>
          <w:kern w:val="24"/>
          <w:sz w:val="40"/>
          <w:szCs w:val="40"/>
        </w:rPr>
        <w:t xml:space="preserve"> </w:t>
      </w:r>
    </w:p>
    <w:p w14:paraId="21855D1B" w14:textId="77777777" w:rsidR="00E96916" w:rsidRPr="00DC371F" w:rsidRDefault="00E96916" w:rsidP="00B551AA">
      <w:pPr>
        <w:pStyle w:val="ListParagraph"/>
        <w:widowControl/>
        <w:numPr>
          <w:ilvl w:val="0"/>
          <w:numId w:val="67"/>
        </w:numPr>
        <w:spacing w:before="120" w:after="120" w:line="360" w:lineRule="auto"/>
        <w:ind w:left="1260" w:firstLine="0"/>
        <w:contextualSpacing w:val="0"/>
        <w:jc w:val="both"/>
        <w:rPr>
          <w:bCs/>
          <w:color w:val="000000" w:themeColor="text1"/>
          <w:sz w:val="24"/>
          <w:szCs w:val="24"/>
        </w:rPr>
      </w:pPr>
      <w:r w:rsidRPr="00DC371F">
        <w:rPr>
          <w:bCs/>
          <w:color w:val="000000" w:themeColor="text1"/>
          <w:sz w:val="24"/>
          <w:szCs w:val="24"/>
        </w:rPr>
        <w:lastRenderedPageBreak/>
        <w:t>ADR reported is un-expected;</w:t>
      </w:r>
    </w:p>
    <w:p w14:paraId="14519134" w14:textId="77777777" w:rsidR="00E96916" w:rsidRPr="00DC371F" w:rsidRDefault="00E96916" w:rsidP="00B551AA">
      <w:pPr>
        <w:pStyle w:val="ListParagraph"/>
        <w:widowControl/>
        <w:numPr>
          <w:ilvl w:val="0"/>
          <w:numId w:val="67"/>
        </w:numPr>
        <w:spacing w:before="120" w:after="120" w:line="360" w:lineRule="auto"/>
        <w:ind w:left="1260" w:firstLine="0"/>
        <w:contextualSpacing w:val="0"/>
        <w:jc w:val="both"/>
        <w:rPr>
          <w:bCs/>
          <w:color w:val="000000" w:themeColor="text1"/>
          <w:sz w:val="24"/>
          <w:szCs w:val="24"/>
        </w:rPr>
      </w:pPr>
      <w:r w:rsidRPr="00DC371F">
        <w:rPr>
          <w:bCs/>
          <w:color w:val="000000" w:themeColor="text1"/>
          <w:sz w:val="24"/>
          <w:szCs w:val="24"/>
        </w:rPr>
        <w:t>Unusual aspects of expected ADRs;</w:t>
      </w:r>
    </w:p>
    <w:p w14:paraId="183C3ACE" w14:textId="099A8990" w:rsidR="00E96916" w:rsidRPr="00DC371F" w:rsidRDefault="00E96916" w:rsidP="00B551AA">
      <w:pPr>
        <w:pStyle w:val="ListParagraph"/>
        <w:widowControl/>
        <w:numPr>
          <w:ilvl w:val="0"/>
          <w:numId w:val="67"/>
        </w:numPr>
        <w:spacing w:before="120" w:after="120" w:line="360" w:lineRule="auto"/>
        <w:ind w:left="1260" w:firstLine="0"/>
        <w:contextualSpacing w:val="0"/>
        <w:jc w:val="both"/>
        <w:rPr>
          <w:bCs/>
          <w:color w:val="000000" w:themeColor="text1"/>
          <w:sz w:val="24"/>
          <w:szCs w:val="24"/>
        </w:rPr>
      </w:pPr>
      <w:r w:rsidRPr="00DC371F">
        <w:rPr>
          <w:bCs/>
          <w:color w:val="000000" w:themeColor="text1"/>
          <w:sz w:val="24"/>
          <w:szCs w:val="24"/>
        </w:rPr>
        <w:t>Fatal outcome or life</w:t>
      </w:r>
      <w:r w:rsidR="000201A2" w:rsidRPr="00DC371F">
        <w:rPr>
          <w:bCs/>
          <w:color w:val="000000" w:themeColor="text1"/>
          <w:sz w:val="24"/>
          <w:szCs w:val="24"/>
        </w:rPr>
        <w:t>-</w:t>
      </w:r>
      <w:r w:rsidRPr="00DC371F">
        <w:rPr>
          <w:bCs/>
          <w:color w:val="000000" w:themeColor="text1"/>
          <w:sz w:val="24"/>
          <w:szCs w:val="24"/>
        </w:rPr>
        <w:t>threatening course;</w:t>
      </w:r>
    </w:p>
    <w:p w14:paraId="59A8AC2E" w14:textId="77777777" w:rsidR="00E96916" w:rsidRPr="00DC371F" w:rsidRDefault="00E96916" w:rsidP="00B551AA">
      <w:pPr>
        <w:pStyle w:val="ListParagraph"/>
        <w:widowControl/>
        <w:numPr>
          <w:ilvl w:val="0"/>
          <w:numId w:val="67"/>
        </w:numPr>
        <w:spacing w:before="120" w:after="120" w:line="360" w:lineRule="auto"/>
        <w:ind w:left="1260" w:firstLine="0"/>
        <w:contextualSpacing w:val="0"/>
        <w:jc w:val="both"/>
        <w:rPr>
          <w:bCs/>
          <w:color w:val="000000" w:themeColor="text1"/>
          <w:sz w:val="24"/>
          <w:szCs w:val="24"/>
        </w:rPr>
      </w:pPr>
      <w:r w:rsidRPr="00DC371F">
        <w:rPr>
          <w:bCs/>
          <w:color w:val="000000" w:themeColor="text1"/>
          <w:sz w:val="24"/>
          <w:szCs w:val="24"/>
        </w:rPr>
        <w:t>Specific ADRs: SJS, TEN, Agranulocytosis; and</w:t>
      </w:r>
    </w:p>
    <w:p w14:paraId="36E23528" w14:textId="77777777" w:rsidR="00E96916" w:rsidRPr="00DC371F" w:rsidRDefault="00E96916" w:rsidP="00B551AA">
      <w:pPr>
        <w:pStyle w:val="ListParagraph"/>
        <w:widowControl/>
        <w:numPr>
          <w:ilvl w:val="0"/>
          <w:numId w:val="67"/>
        </w:numPr>
        <w:spacing w:before="120" w:after="120" w:line="360" w:lineRule="auto"/>
        <w:ind w:left="1260" w:firstLine="0"/>
        <w:contextualSpacing w:val="0"/>
        <w:jc w:val="both"/>
        <w:rPr>
          <w:bCs/>
          <w:color w:val="000000" w:themeColor="text1"/>
          <w:sz w:val="24"/>
          <w:szCs w:val="24"/>
        </w:rPr>
      </w:pPr>
      <w:r w:rsidRPr="00DC371F">
        <w:rPr>
          <w:bCs/>
          <w:color w:val="000000" w:themeColor="text1"/>
          <w:sz w:val="24"/>
          <w:szCs w:val="24"/>
        </w:rPr>
        <w:t>Cluster.</w:t>
      </w:r>
    </w:p>
    <w:p w14:paraId="1F1E0E35" w14:textId="3B78CA31" w:rsidR="00E96916" w:rsidRPr="00DC371F" w:rsidRDefault="00E96916" w:rsidP="00264C2E">
      <w:pPr>
        <w:spacing w:before="120" w:after="120" w:line="360" w:lineRule="auto"/>
        <w:ind w:left="900"/>
        <w:jc w:val="both"/>
        <w:rPr>
          <w:color w:val="000000" w:themeColor="text1"/>
          <w:sz w:val="24"/>
          <w:szCs w:val="24"/>
        </w:rPr>
      </w:pPr>
      <w:r w:rsidRPr="00DC371F">
        <w:rPr>
          <w:color w:val="000000" w:themeColor="text1"/>
          <w:sz w:val="24"/>
          <w:szCs w:val="24"/>
        </w:rPr>
        <w:t>Various methods have been used to detect signals using spontaneous reporting data. Based on</w:t>
      </w:r>
      <w:r w:rsidRPr="00DC371F">
        <w:rPr>
          <w:color w:val="000000" w:themeColor="text1"/>
        </w:rPr>
        <w:t xml:space="preserve"> </w:t>
      </w:r>
      <w:r w:rsidRPr="00DC371F">
        <w:rPr>
          <w:color w:val="000000" w:themeColor="text1"/>
          <w:sz w:val="24"/>
          <w:szCs w:val="24"/>
        </w:rPr>
        <w:t>different statistical methodologies such as Bayesian or Frequentist approach, the basic</w:t>
      </w:r>
      <w:r w:rsidRPr="00DC371F">
        <w:rPr>
          <w:color w:val="000000" w:themeColor="text1"/>
        </w:rPr>
        <w:t xml:space="preserve"> </w:t>
      </w:r>
      <w:r w:rsidRPr="00DC371F">
        <w:rPr>
          <w:color w:val="000000" w:themeColor="text1"/>
          <w:sz w:val="24"/>
          <w:szCs w:val="24"/>
        </w:rPr>
        <w:t xml:space="preserve">concept behind these methods is </w:t>
      </w:r>
      <w:r w:rsidR="008C1797" w:rsidRPr="00DC371F">
        <w:rPr>
          <w:color w:val="000000" w:themeColor="text1"/>
          <w:sz w:val="24"/>
          <w:szCs w:val="24"/>
        </w:rPr>
        <w:t xml:space="preserve">the </w:t>
      </w:r>
      <w:r w:rsidRPr="00DC371F">
        <w:rPr>
          <w:color w:val="000000" w:themeColor="text1"/>
          <w:sz w:val="24"/>
          <w:szCs w:val="24"/>
        </w:rPr>
        <w:t>measurement of disproportionality that determines to what</w:t>
      </w:r>
      <w:r w:rsidRPr="00DC371F">
        <w:rPr>
          <w:color w:val="000000" w:themeColor="text1"/>
        </w:rPr>
        <w:t xml:space="preserve"> </w:t>
      </w:r>
      <w:r w:rsidRPr="00DC371F">
        <w:rPr>
          <w:color w:val="000000" w:themeColor="text1"/>
          <w:sz w:val="24"/>
          <w:szCs w:val="24"/>
        </w:rPr>
        <w:t>extent the number of observed cases differs from the number of expected cases. When all drugs</w:t>
      </w:r>
      <w:r w:rsidRPr="00DC371F">
        <w:rPr>
          <w:color w:val="000000" w:themeColor="text1"/>
        </w:rPr>
        <w:t xml:space="preserve"> </w:t>
      </w:r>
      <w:r w:rsidRPr="00DC371F">
        <w:rPr>
          <w:color w:val="000000" w:themeColor="text1"/>
          <w:sz w:val="24"/>
          <w:szCs w:val="24"/>
        </w:rPr>
        <w:t>are considered together, large ADR databases tend to have fairly stable proportions of particular</w:t>
      </w:r>
      <w:r w:rsidRPr="00DC371F">
        <w:rPr>
          <w:color w:val="000000" w:themeColor="text1"/>
        </w:rPr>
        <w:t xml:space="preserve"> </w:t>
      </w:r>
      <w:r w:rsidRPr="00DC371F">
        <w:rPr>
          <w:color w:val="000000" w:themeColor="text1"/>
          <w:sz w:val="24"/>
          <w:szCs w:val="24"/>
        </w:rPr>
        <w:t>reactions over time. That proportion is used as a baseline for comparison to determine what would</w:t>
      </w:r>
      <w:r w:rsidRPr="00DC371F">
        <w:rPr>
          <w:color w:val="000000" w:themeColor="text1"/>
        </w:rPr>
        <w:t xml:space="preserve"> </w:t>
      </w:r>
      <w:r w:rsidRPr="00DC371F">
        <w:rPr>
          <w:color w:val="000000" w:themeColor="text1"/>
          <w:sz w:val="24"/>
          <w:szCs w:val="24"/>
        </w:rPr>
        <w:t>be expected if there was no signal</w:t>
      </w:r>
    </w:p>
    <w:p w14:paraId="1CF94BF7" w14:textId="63CDA1CE" w:rsidR="00E96916" w:rsidRPr="00E96916" w:rsidRDefault="00E96916" w:rsidP="00264C2E">
      <w:pPr>
        <w:spacing w:before="120" w:after="120" w:line="360" w:lineRule="auto"/>
        <w:ind w:left="900"/>
        <w:jc w:val="both"/>
        <w:rPr>
          <w:color w:val="4472C4" w:themeColor="accent1"/>
          <w:sz w:val="24"/>
          <w:szCs w:val="24"/>
        </w:rPr>
      </w:pPr>
      <w:r w:rsidRPr="00DC371F">
        <w:rPr>
          <w:color w:val="000000" w:themeColor="text1"/>
          <w:sz w:val="24"/>
          <w:szCs w:val="24"/>
        </w:rPr>
        <w:t>In the BCPNN methodology, computation of the information component (IC) is based on prior</w:t>
      </w:r>
      <w:r w:rsidRPr="00DC371F">
        <w:rPr>
          <w:color w:val="000000" w:themeColor="text1"/>
        </w:rPr>
        <w:t xml:space="preserve"> </w:t>
      </w:r>
      <w:r w:rsidRPr="00DC371F">
        <w:rPr>
          <w:color w:val="000000" w:themeColor="text1"/>
          <w:sz w:val="24"/>
          <w:szCs w:val="24"/>
        </w:rPr>
        <w:t>and posterior probabilities. According to WHO-UMC, the IC measures the disproportionality in</w:t>
      </w:r>
      <w:r w:rsidRPr="00DC371F">
        <w:rPr>
          <w:color w:val="000000" w:themeColor="text1"/>
        </w:rPr>
        <w:t xml:space="preserve"> </w:t>
      </w:r>
      <w:r w:rsidRPr="00DC371F">
        <w:rPr>
          <w:color w:val="000000" w:themeColor="text1"/>
          <w:sz w:val="24"/>
          <w:szCs w:val="24"/>
        </w:rPr>
        <w:t>the reporting of a drug-ADR combination in an ICSR database, relative to</w:t>
      </w:r>
      <w:r w:rsidRPr="00DC371F">
        <w:rPr>
          <w:color w:val="000000" w:themeColor="text1"/>
        </w:rPr>
        <w:t xml:space="preserve"> </w:t>
      </w:r>
      <w:r w:rsidRPr="00DC371F">
        <w:rPr>
          <w:color w:val="000000" w:themeColor="text1"/>
          <w:sz w:val="24"/>
          <w:szCs w:val="24"/>
        </w:rPr>
        <w:t>the reporting expected based on the overall reporting of the drug and the ADR. Positive IC</w:t>
      </w:r>
      <w:r w:rsidRPr="00DC371F">
        <w:rPr>
          <w:color w:val="000000" w:themeColor="text1"/>
        </w:rPr>
        <w:t xml:space="preserve"> </w:t>
      </w:r>
      <w:r w:rsidRPr="00DC371F">
        <w:rPr>
          <w:color w:val="000000" w:themeColor="text1"/>
          <w:sz w:val="24"/>
          <w:szCs w:val="24"/>
        </w:rPr>
        <w:t xml:space="preserve">values indicate higher reporting than expected. </w:t>
      </w:r>
      <w:r w:rsidR="00CC2441" w:rsidRPr="00DC371F">
        <w:rPr>
          <w:color w:val="000000" w:themeColor="text1"/>
          <w:sz w:val="24"/>
          <w:szCs w:val="24"/>
        </w:rPr>
        <w:t>However, a review of signals generated with this</w:t>
      </w:r>
      <w:r w:rsidR="00CC2441" w:rsidRPr="00DC371F">
        <w:rPr>
          <w:color w:val="000000" w:themeColor="text1"/>
        </w:rPr>
        <w:t xml:space="preserve"> </w:t>
      </w:r>
      <w:r w:rsidR="00CC2441" w:rsidRPr="00DC371F">
        <w:rPr>
          <w:color w:val="000000" w:themeColor="text1"/>
          <w:sz w:val="24"/>
          <w:szCs w:val="24"/>
        </w:rPr>
        <w:t xml:space="preserve">methodology must be analysed by clinicians and drug safety experts before any conclusion is made. </w:t>
      </w:r>
      <w:r w:rsidR="00053F32" w:rsidRPr="00DC371F">
        <w:rPr>
          <w:color w:val="000000" w:themeColor="text1"/>
          <w:sz w:val="24"/>
          <w:szCs w:val="24"/>
        </w:rPr>
        <w:t>Likewise, reporting odds ratio (ROR) and proportional reporting ratio (PRR)</w:t>
      </w:r>
      <w:r w:rsidR="00CC2441" w:rsidRPr="00DC371F">
        <w:rPr>
          <w:color w:val="000000" w:themeColor="text1"/>
          <w:sz w:val="24"/>
          <w:szCs w:val="24"/>
        </w:rPr>
        <w:t xml:space="preserve"> are </w:t>
      </w:r>
      <w:r w:rsidR="00CC2441" w:rsidRPr="00FF0731">
        <w:rPr>
          <w:color w:val="000000" w:themeColor="text1"/>
          <w:sz w:val="24"/>
          <w:szCs w:val="24"/>
        </w:rPr>
        <w:t xml:space="preserve">methods of disproportionality and are available in the </w:t>
      </w:r>
      <w:proofErr w:type="spellStart"/>
      <w:r w:rsidR="00CC2441" w:rsidRPr="00FF0731">
        <w:rPr>
          <w:color w:val="000000" w:themeColor="text1"/>
          <w:sz w:val="24"/>
          <w:szCs w:val="24"/>
        </w:rPr>
        <w:t>VigiLyze</w:t>
      </w:r>
      <w:proofErr w:type="spellEnd"/>
      <w:r w:rsidR="00CC2441" w:rsidRPr="00FF0731">
        <w:rPr>
          <w:color w:val="000000" w:themeColor="text1"/>
          <w:sz w:val="24"/>
          <w:szCs w:val="24"/>
        </w:rPr>
        <w:t xml:space="preserve"> database</w:t>
      </w:r>
      <w:r w:rsidR="00053F32" w:rsidRPr="00FF0731">
        <w:rPr>
          <w:color w:val="000000" w:themeColor="text1"/>
          <w:sz w:val="24"/>
          <w:szCs w:val="24"/>
        </w:rPr>
        <w:t xml:space="preserve">. </w:t>
      </w:r>
      <w:r w:rsidRPr="00FF0731">
        <w:rPr>
          <w:color w:val="000000" w:themeColor="text1"/>
          <w:sz w:val="24"/>
          <w:szCs w:val="24"/>
        </w:rPr>
        <w:t>Each method used for signal detection has its advantages and disadvantages, and no one method</w:t>
      </w:r>
      <w:r w:rsidRPr="00FF0731">
        <w:rPr>
          <w:color w:val="000000" w:themeColor="text1"/>
        </w:rPr>
        <w:t xml:space="preserve"> </w:t>
      </w:r>
      <w:r w:rsidRPr="00FF0731">
        <w:rPr>
          <w:color w:val="000000" w:themeColor="text1"/>
          <w:sz w:val="24"/>
          <w:szCs w:val="24"/>
        </w:rPr>
        <w:t>can be considered the gold standard.</w:t>
      </w:r>
    </w:p>
    <w:p w14:paraId="117B7E06" w14:textId="09C0FC61" w:rsidR="00BD617B" w:rsidRPr="00671290" w:rsidRDefault="00937F6A" w:rsidP="00671290">
      <w:pPr>
        <w:ind w:left="540"/>
        <w:rPr>
          <w:i/>
          <w:iCs/>
          <w:sz w:val="24"/>
          <w:szCs w:val="24"/>
        </w:rPr>
      </w:pPr>
      <w:bookmarkStart w:id="64" w:name="_Toc97895927"/>
      <w:r w:rsidRPr="00671290">
        <w:rPr>
          <w:i/>
          <w:iCs/>
          <w:sz w:val="24"/>
          <w:szCs w:val="24"/>
        </w:rPr>
        <w:t xml:space="preserve">7.4.2 </w:t>
      </w:r>
      <w:r w:rsidR="00BD617B" w:rsidRPr="00671290">
        <w:rPr>
          <w:i/>
          <w:iCs/>
          <w:sz w:val="24"/>
          <w:szCs w:val="24"/>
        </w:rPr>
        <w:t>Signal Validation:</w:t>
      </w:r>
      <w:bookmarkEnd w:id="64"/>
      <w:r w:rsidR="00BD617B" w:rsidRPr="00671290">
        <w:rPr>
          <w:i/>
          <w:iCs/>
          <w:sz w:val="24"/>
          <w:szCs w:val="24"/>
        </w:rPr>
        <w:t xml:space="preserve"> </w:t>
      </w:r>
    </w:p>
    <w:p w14:paraId="0BC8AE8F" w14:textId="571F19DD" w:rsidR="00E96916" w:rsidRPr="00643555" w:rsidRDefault="00BD617B" w:rsidP="000D00DA">
      <w:pPr>
        <w:widowControl/>
        <w:spacing w:before="120" w:after="120" w:line="360" w:lineRule="auto"/>
        <w:ind w:left="900"/>
        <w:jc w:val="both"/>
        <w:rPr>
          <w:rFonts w:asciiTheme="majorBidi" w:hAnsiTheme="majorBidi" w:cstheme="majorBidi"/>
          <w:sz w:val="24"/>
          <w:szCs w:val="24"/>
        </w:rPr>
      </w:pPr>
      <w:r w:rsidRPr="00B0455C">
        <w:rPr>
          <w:rFonts w:asciiTheme="majorBidi" w:hAnsiTheme="majorBidi" w:cstheme="majorBidi"/>
          <w:color w:val="000000" w:themeColor="text1"/>
          <w:sz w:val="24"/>
          <w:szCs w:val="24"/>
        </w:rPr>
        <w:t xml:space="preserve">The process of evaluating the data supporting the detected signal in order to verify that the available documentation contains sufficient evidence demonstrating the existence of a new potentially causal association, or a new aspect of a known association, and therefore justifies further analysis of the signal. This evaluation should </w:t>
      </w:r>
      <w:proofErr w:type="gramStart"/>
      <w:r w:rsidRPr="00B0455C">
        <w:rPr>
          <w:rFonts w:asciiTheme="majorBidi" w:hAnsiTheme="majorBidi" w:cstheme="majorBidi"/>
          <w:color w:val="000000" w:themeColor="text1"/>
          <w:sz w:val="24"/>
          <w:szCs w:val="24"/>
        </w:rPr>
        <w:t>take into account</w:t>
      </w:r>
      <w:proofErr w:type="gramEnd"/>
      <w:r w:rsidRPr="00B0455C">
        <w:rPr>
          <w:rFonts w:asciiTheme="majorBidi" w:hAnsiTheme="majorBidi" w:cstheme="majorBidi"/>
          <w:color w:val="000000" w:themeColor="text1"/>
          <w:sz w:val="24"/>
          <w:szCs w:val="24"/>
        </w:rPr>
        <w:t xml:space="preserve"> the strength of the evidence, the clinical relevance/context and the previous awareness of the association.</w:t>
      </w:r>
      <w:r w:rsidRPr="00B0455C">
        <w:rPr>
          <w:rFonts w:asciiTheme="majorBidi" w:hAnsiTheme="majorBidi" w:cstheme="majorBidi"/>
          <w:sz w:val="24"/>
          <w:szCs w:val="24"/>
        </w:rPr>
        <w:t xml:space="preserve"> A signal for which the signal validation process has verified that the available documentation contains sufficient evidence demonstrating the existence of a </w:t>
      </w:r>
      <w:r w:rsidRPr="00B0455C">
        <w:rPr>
          <w:rFonts w:asciiTheme="majorBidi" w:hAnsiTheme="majorBidi" w:cstheme="majorBidi"/>
          <w:sz w:val="24"/>
          <w:szCs w:val="24"/>
        </w:rPr>
        <w:lastRenderedPageBreak/>
        <w:t>new potentially causal association, or a new aspect of a known association, and therefore justifies further analysis is called a validated signal.</w:t>
      </w:r>
      <w:r w:rsidRPr="00B0455C">
        <w:rPr>
          <w:rFonts w:asciiTheme="majorBidi" w:hAnsiTheme="majorBidi" w:cstheme="majorBidi"/>
          <w:color w:val="000000" w:themeColor="text1"/>
          <w:sz w:val="24"/>
          <w:szCs w:val="24"/>
        </w:rPr>
        <w:t xml:space="preserve"> Sometimes, the </w:t>
      </w:r>
      <w:r w:rsidRPr="00B0455C">
        <w:rPr>
          <w:rFonts w:asciiTheme="majorBidi" w:hAnsiTheme="majorBidi" w:cstheme="majorBidi"/>
          <w:sz w:val="24"/>
          <w:szCs w:val="24"/>
        </w:rPr>
        <w:t>signal validation process led to the conclusion that the available documentation at the point in time does not contain sufficient evidence demonstrating the existence of a new potentially causal association, or a new aspect of a known association, and that therefore further analysis of the signal is not warranted, that is called non-validated signal.</w:t>
      </w:r>
    </w:p>
    <w:p w14:paraId="53589CA3" w14:textId="1DB67B00" w:rsidR="00E96916" w:rsidRPr="001F7129" w:rsidRDefault="00E96916" w:rsidP="000D00DA">
      <w:pPr>
        <w:spacing w:before="120" w:after="120" w:line="360" w:lineRule="auto"/>
        <w:ind w:left="900"/>
        <w:jc w:val="both"/>
        <w:rPr>
          <w:bCs/>
          <w:color w:val="000000" w:themeColor="text1"/>
          <w:sz w:val="24"/>
          <w:szCs w:val="24"/>
        </w:rPr>
      </w:pPr>
      <w:r w:rsidRPr="001F7129">
        <w:rPr>
          <w:bCs/>
          <w:color w:val="000000" w:themeColor="text1"/>
          <w:sz w:val="24"/>
          <w:szCs w:val="24"/>
        </w:rPr>
        <w:t xml:space="preserve">When </w:t>
      </w:r>
      <w:r w:rsidR="001F7129">
        <w:rPr>
          <w:bCs/>
          <w:color w:val="000000" w:themeColor="text1"/>
          <w:sz w:val="24"/>
          <w:szCs w:val="24"/>
        </w:rPr>
        <w:t xml:space="preserve">a </w:t>
      </w:r>
      <w:r w:rsidRPr="001F7129">
        <w:rPr>
          <w:bCs/>
          <w:color w:val="000000" w:themeColor="text1"/>
          <w:sz w:val="24"/>
          <w:szCs w:val="24"/>
        </w:rPr>
        <w:t xml:space="preserve">new signal is detected, first it is validated in order to verify that the available data support the new causal relationship. It is then followed by </w:t>
      </w:r>
      <w:r w:rsidR="001F7129">
        <w:rPr>
          <w:bCs/>
          <w:color w:val="000000" w:themeColor="text1"/>
          <w:sz w:val="24"/>
          <w:szCs w:val="24"/>
        </w:rPr>
        <w:t xml:space="preserve">a </w:t>
      </w:r>
      <w:r w:rsidRPr="001F7129">
        <w:rPr>
          <w:bCs/>
          <w:color w:val="000000" w:themeColor="text1"/>
          <w:sz w:val="24"/>
          <w:szCs w:val="24"/>
        </w:rPr>
        <w:t xml:space="preserve">complete assessment of the signal. In case of spontaneous adverse drug reaction reports it </w:t>
      </w:r>
      <w:r w:rsidR="001F7129">
        <w:rPr>
          <w:bCs/>
          <w:color w:val="000000" w:themeColor="text1"/>
          <w:sz w:val="24"/>
          <w:szCs w:val="24"/>
        </w:rPr>
        <w:t xml:space="preserve">is </w:t>
      </w:r>
      <w:r w:rsidRPr="001F7129">
        <w:rPr>
          <w:bCs/>
          <w:color w:val="000000" w:themeColor="text1"/>
          <w:sz w:val="24"/>
          <w:szCs w:val="24"/>
        </w:rPr>
        <w:t xml:space="preserve">important to have basic information of the following before going into signal detection and </w:t>
      </w:r>
      <w:proofErr w:type="gramStart"/>
      <w:r w:rsidRPr="001F7129">
        <w:rPr>
          <w:bCs/>
          <w:color w:val="000000" w:themeColor="text1"/>
          <w:sz w:val="24"/>
          <w:szCs w:val="24"/>
        </w:rPr>
        <w:t>making a decision</w:t>
      </w:r>
      <w:proofErr w:type="gramEnd"/>
      <w:r w:rsidRPr="001F7129">
        <w:rPr>
          <w:bCs/>
          <w:color w:val="000000" w:themeColor="text1"/>
          <w:sz w:val="24"/>
          <w:szCs w:val="24"/>
        </w:rPr>
        <w:t>.</w:t>
      </w:r>
    </w:p>
    <w:p w14:paraId="097E050A" w14:textId="499CC175" w:rsidR="00E96916" w:rsidRPr="001F7129" w:rsidRDefault="00E96916"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 xml:space="preserve">Information about </w:t>
      </w:r>
      <w:proofErr w:type="gramStart"/>
      <w:r w:rsidRPr="001F7129">
        <w:rPr>
          <w:bCs/>
          <w:color w:val="000000" w:themeColor="text1"/>
          <w:sz w:val="24"/>
          <w:szCs w:val="24"/>
        </w:rPr>
        <w:t>the  Drug</w:t>
      </w:r>
      <w:proofErr w:type="gramEnd"/>
      <w:r w:rsidRPr="001F7129">
        <w:rPr>
          <w:bCs/>
          <w:color w:val="000000" w:themeColor="text1"/>
          <w:sz w:val="24"/>
          <w:szCs w:val="24"/>
        </w:rPr>
        <w:t xml:space="preserve"> (Mechanism of Action, its ADRs profile, Pharmacokinetics, Pharmacodynamics,</w:t>
      </w:r>
      <w:r w:rsidR="001F7129">
        <w:rPr>
          <w:bCs/>
          <w:color w:val="000000" w:themeColor="text1"/>
          <w:sz w:val="24"/>
          <w:szCs w:val="24"/>
        </w:rPr>
        <w:t xml:space="preserve"> </w:t>
      </w:r>
      <w:r w:rsidRPr="001F7129">
        <w:rPr>
          <w:bCs/>
          <w:color w:val="000000" w:themeColor="text1"/>
          <w:sz w:val="24"/>
          <w:szCs w:val="24"/>
        </w:rPr>
        <w:t>indication, dosage, ATC group,  start date, stop date, route of Administration,  Re-challenge, de-challenge, concomitant medication)</w:t>
      </w:r>
    </w:p>
    <w:p w14:paraId="429412B8" w14:textId="77777777" w:rsidR="00E96916" w:rsidRPr="001F7129" w:rsidRDefault="00E96916"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The ADR (mechanism, risk factor, System Organ Class group, outcome, onset date, recovery date);</w:t>
      </w:r>
    </w:p>
    <w:p w14:paraId="459EFEA0" w14:textId="02E58AE3" w:rsidR="00E96916" w:rsidRPr="001F7129" w:rsidRDefault="00E96916"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 xml:space="preserve">Information about Patient (s) </w:t>
      </w:r>
      <w:proofErr w:type="gramStart"/>
      <w:r w:rsidRPr="001F7129">
        <w:rPr>
          <w:bCs/>
          <w:color w:val="000000" w:themeColor="text1"/>
          <w:sz w:val="24"/>
          <w:szCs w:val="24"/>
        </w:rPr>
        <w:t>( Age</w:t>
      </w:r>
      <w:proofErr w:type="gramEnd"/>
      <w:r w:rsidRPr="001F7129">
        <w:rPr>
          <w:bCs/>
          <w:color w:val="000000" w:themeColor="text1"/>
          <w:sz w:val="24"/>
          <w:szCs w:val="24"/>
        </w:rPr>
        <w:t>, Sex, current and past medical condition, genetics,  pregnancy, lifestyle factors, allergy, previous major illness);</w:t>
      </w:r>
    </w:p>
    <w:p w14:paraId="7F9B1B89" w14:textId="65081A4B" w:rsidR="00E96916" w:rsidRPr="001F7129" w:rsidRDefault="00E96916"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History of the registration of drugs/</w:t>
      </w:r>
      <w:r w:rsidR="001F7129" w:rsidRPr="001F7129">
        <w:rPr>
          <w:bCs/>
          <w:color w:val="000000" w:themeColor="text1"/>
          <w:sz w:val="24"/>
          <w:szCs w:val="24"/>
        </w:rPr>
        <w:t>classe</w:t>
      </w:r>
      <w:r w:rsidRPr="001F7129">
        <w:rPr>
          <w:bCs/>
          <w:color w:val="000000" w:themeColor="text1"/>
          <w:sz w:val="24"/>
          <w:szCs w:val="24"/>
        </w:rPr>
        <w:t>s across the globe;</w:t>
      </w:r>
    </w:p>
    <w:p w14:paraId="7C7C47AF" w14:textId="01052250" w:rsidR="00E96916" w:rsidRPr="001F7129" w:rsidRDefault="00E96916"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 xml:space="preserve">Case series </w:t>
      </w:r>
      <w:proofErr w:type="gramStart"/>
      <w:r w:rsidRPr="001F7129">
        <w:rPr>
          <w:bCs/>
          <w:color w:val="000000" w:themeColor="text1"/>
          <w:sz w:val="24"/>
          <w:szCs w:val="24"/>
        </w:rPr>
        <w:t>data  in</w:t>
      </w:r>
      <w:proofErr w:type="gramEnd"/>
      <w:r w:rsidRPr="001F7129">
        <w:rPr>
          <w:bCs/>
          <w:color w:val="000000" w:themeColor="text1"/>
          <w:sz w:val="24"/>
          <w:szCs w:val="24"/>
        </w:rPr>
        <w:t xml:space="preserve"> case of case series (demographic, pattern, age, re-challenge, de-challenge);</w:t>
      </w:r>
    </w:p>
    <w:p w14:paraId="3D01F6FC" w14:textId="06D3E5BE" w:rsidR="001F7129" w:rsidRPr="001F7129" w:rsidRDefault="001F7129"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Determining the strength of association, contributing factors and performing preventability method;</w:t>
      </w:r>
    </w:p>
    <w:p w14:paraId="0A215915" w14:textId="0C0BB4E7" w:rsidR="001F7129" w:rsidRPr="001F7129" w:rsidRDefault="001F7129" w:rsidP="001F7129">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 xml:space="preserve">Analysis of data from Risk Management Plans and PBRER along with Information on causal relationships from literature/ studies; </w:t>
      </w:r>
    </w:p>
    <w:p w14:paraId="3827BCD0" w14:textId="6CAA2B5F" w:rsidR="001F7129" w:rsidRPr="001F7129" w:rsidRDefault="001F7129" w:rsidP="001F7129">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Root cause analysis through Ishikawa Diagram, and assessment of similar data in global databases and other countries' databases; and performing disproportionality analysis.</w:t>
      </w:r>
    </w:p>
    <w:p w14:paraId="405829A1" w14:textId="77777777" w:rsidR="00E96916" w:rsidRPr="001F7129" w:rsidRDefault="00E96916"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lastRenderedPageBreak/>
        <w:t>Information from Clinical Trials;</w:t>
      </w:r>
    </w:p>
    <w:p w14:paraId="5D8171D5" w14:textId="3862626F" w:rsidR="00E96916" w:rsidRPr="001F7129" w:rsidRDefault="00E96916" w:rsidP="00B551AA">
      <w:pPr>
        <w:pStyle w:val="ListParagraph"/>
        <w:widowControl/>
        <w:numPr>
          <w:ilvl w:val="0"/>
          <w:numId w:val="68"/>
        </w:numPr>
        <w:spacing w:before="120" w:after="120" w:line="360" w:lineRule="auto"/>
        <w:ind w:left="1800" w:hanging="540"/>
        <w:contextualSpacing w:val="0"/>
        <w:jc w:val="both"/>
        <w:rPr>
          <w:bCs/>
          <w:color w:val="000000" w:themeColor="text1"/>
          <w:sz w:val="24"/>
          <w:szCs w:val="24"/>
        </w:rPr>
      </w:pPr>
      <w:r w:rsidRPr="001F7129">
        <w:rPr>
          <w:bCs/>
          <w:color w:val="000000" w:themeColor="text1"/>
          <w:sz w:val="24"/>
          <w:szCs w:val="24"/>
        </w:rPr>
        <w:t>Action</w:t>
      </w:r>
      <w:r w:rsidR="001F7129" w:rsidRPr="001F7129">
        <w:rPr>
          <w:bCs/>
          <w:color w:val="000000" w:themeColor="text1"/>
          <w:sz w:val="24"/>
          <w:szCs w:val="24"/>
        </w:rPr>
        <w:t>s</w:t>
      </w:r>
      <w:r w:rsidRPr="001F7129">
        <w:rPr>
          <w:bCs/>
          <w:color w:val="000000" w:themeColor="text1"/>
          <w:sz w:val="24"/>
          <w:szCs w:val="24"/>
        </w:rPr>
        <w:t xml:space="preserve"> taken </w:t>
      </w:r>
      <w:r w:rsidR="001F7129" w:rsidRPr="001F7129">
        <w:rPr>
          <w:bCs/>
          <w:color w:val="000000" w:themeColor="text1"/>
          <w:sz w:val="24"/>
          <w:szCs w:val="24"/>
        </w:rPr>
        <w:t xml:space="preserve">if any </w:t>
      </w:r>
      <w:r w:rsidRPr="001F7129">
        <w:rPr>
          <w:bCs/>
          <w:color w:val="000000" w:themeColor="text1"/>
          <w:sz w:val="24"/>
          <w:szCs w:val="24"/>
        </w:rPr>
        <w:t>by other regulatory authorities.</w:t>
      </w:r>
    </w:p>
    <w:p w14:paraId="5D2731ED" w14:textId="5FE2B44D" w:rsidR="00BD617B" w:rsidRPr="000B3390" w:rsidRDefault="00937F6A" w:rsidP="000B3390">
      <w:pPr>
        <w:ind w:left="540"/>
        <w:rPr>
          <w:i/>
          <w:iCs/>
          <w:sz w:val="24"/>
          <w:szCs w:val="24"/>
        </w:rPr>
      </w:pPr>
      <w:bookmarkStart w:id="65" w:name="_Toc97895928"/>
      <w:r w:rsidRPr="000B3390">
        <w:rPr>
          <w:i/>
          <w:iCs/>
          <w:sz w:val="24"/>
          <w:szCs w:val="24"/>
        </w:rPr>
        <w:t xml:space="preserve">7.4.3 </w:t>
      </w:r>
      <w:r w:rsidR="00BD617B" w:rsidRPr="000B3390">
        <w:rPr>
          <w:i/>
          <w:iCs/>
          <w:sz w:val="24"/>
          <w:szCs w:val="24"/>
        </w:rPr>
        <w:t>Signal Prioritization</w:t>
      </w:r>
      <w:bookmarkEnd w:id="65"/>
    </w:p>
    <w:p w14:paraId="43B32671" w14:textId="24D68350" w:rsidR="00BD617B" w:rsidRPr="00B0455C" w:rsidRDefault="00BD617B" w:rsidP="00070769">
      <w:pPr>
        <w:widowControl/>
        <w:spacing w:before="120" w:after="120" w:line="360" w:lineRule="auto"/>
        <w:ind w:left="900"/>
        <w:jc w:val="both"/>
        <w:rPr>
          <w:rFonts w:asciiTheme="majorBidi" w:eastAsia="Calibr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The process, continuously performed throughout signal management, aims to identify those signals suggesting risks with potential important patients or public health impact or which may significantly affect the risk-benefit balance of the therapeutic good and thus require urgent attention and management without delay. </w:t>
      </w:r>
      <w:r w:rsidRPr="00B0455C">
        <w:rPr>
          <w:rFonts w:asciiTheme="majorBidi" w:hAnsiTheme="majorBidi" w:cstheme="majorBidi"/>
          <w:sz w:val="24"/>
          <w:szCs w:val="24"/>
        </w:rPr>
        <w:t>In some circumstances, signals that could cause media attention and/or public concerns (e.g. adverse events following mass immunisation) may deserve special attention. The timeframe for further management of the signal will depend on the prioritisation.</w:t>
      </w:r>
    </w:p>
    <w:p w14:paraId="4AD6929E" w14:textId="3244FEEA" w:rsidR="00BD617B" w:rsidRPr="000B3390" w:rsidRDefault="00937F6A" w:rsidP="00B644CB">
      <w:pPr>
        <w:ind w:left="540"/>
        <w:rPr>
          <w:i/>
          <w:iCs/>
          <w:sz w:val="24"/>
          <w:szCs w:val="24"/>
        </w:rPr>
      </w:pPr>
      <w:bookmarkStart w:id="66" w:name="_Toc97895929"/>
      <w:r w:rsidRPr="000B3390">
        <w:rPr>
          <w:i/>
          <w:iCs/>
          <w:sz w:val="24"/>
          <w:szCs w:val="24"/>
        </w:rPr>
        <w:t xml:space="preserve">7.4.4 </w:t>
      </w:r>
      <w:r w:rsidR="00BD617B" w:rsidRPr="000B3390">
        <w:rPr>
          <w:i/>
          <w:iCs/>
          <w:sz w:val="24"/>
          <w:szCs w:val="24"/>
        </w:rPr>
        <w:t>Signal Assessment</w:t>
      </w:r>
      <w:bookmarkEnd w:id="66"/>
    </w:p>
    <w:p w14:paraId="24C3A1E0" w14:textId="5F746220" w:rsidR="00BD617B" w:rsidRPr="00B0455C" w:rsidRDefault="00BD617B" w:rsidP="002455DD">
      <w:pPr>
        <w:widowControl/>
        <w:spacing w:before="120" w:after="120" w:line="360" w:lineRule="auto"/>
        <w:ind w:left="900"/>
        <w:jc w:val="both"/>
        <w:rPr>
          <w:rFonts w:asciiTheme="majorBidi" w:eastAsia="Calibr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The process of further evaluating a validated signal </w:t>
      </w:r>
      <w:proofErr w:type="gramStart"/>
      <w:r w:rsidRPr="00B0455C">
        <w:rPr>
          <w:rFonts w:asciiTheme="majorBidi" w:hAnsiTheme="majorBidi" w:cstheme="majorBidi"/>
          <w:color w:val="000000" w:themeColor="text1"/>
          <w:sz w:val="24"/>
          <w:szCs w:val="24"/>
        </w:rPr>
        <w:t>taking into account</w:t>
      </w:r>
      <w:proofErr w:type="gramEnd"/>
      <w:r w:rsidRPr="00B0455C">
        <w:rPr>
          <w:rFonts w:asciiTheme="majorBidi" w:hAnsiTheme="majorBidi" w:cstheme="majorBidi"/>
          <w:color w:val="000000" w:themeColor="text1"/>
          <w:sz w:val="24"/>
          <w:szCs w:val="24"/>
        </w:rPr>
        <w:t xml:space="preserve"> all available evidence, to determine whether there are new risks causally associated with the active substance or drugs or therapeutic good or whether known risks have changed. This review may include nonclinical and clinical data and should be as comprehensive as possible regarding the sources of information.</w:t>
      </w:r>
      <w:r w:rsidR="00500081">
        <w:rPr>
          <w:rFonts w:asciiTheme="majorBidi" w:hAnsiTheme="majorBidi" w:cstheme="majorBidi"/>
          <w:color w:val="000000" w:themeColor="text1"/>
          <w:sz w:val="24"/>
          <w:szCs w:val="24"/>
        </w:rPr>
        <w:t xml:space="preserve"> The process is unde</w:t>
      </w:r>
      <w:r w:rsidR="005A15CB">
        <w:rPr>
          <w:rFonts w:asciiTheme="majorBidi" w:hAnsiTheme="majorBidi" w:cstheme="majorBidi"/>
          <w:color w:val="000000" w:themeColor="text1"/>
          <w:sz w:val="24"/>
          <w:szCs w:val="24"/>
        </w:rPr>
        <w:t>r</w:t>
      </w:r>
      <w:r w:rsidR="00500081">
        <w:rPr>
          <w:rFonts w:asciiTheme="majorBidi" w:hAnsiTheme="majorBidi" w:cstheme="majorBidi"/>
          <w:color w:val="000000" w:themeColor="text1"/>
          <w:sz w:val="24"/>
          <w:szCs w:val="24"/>
        </w:rPr>
        <w:t>taken by the PRAEC of the DRAP.</w:t>
      </w:r>
    </w:p>
    <w:p w14:paraId="0025C620" w14:textId="4F913379" w:rsidR="00BD617B" w:rsidRPr="005C14D6" w:rsidRDefault="00937F6A" w:rsidP="002455DD">
      <w:pPr>
        <w:spacing w:before="120" w:after="120" w:line="360" w:lineRule="auto"/>
        <w:ind w:firstLine="540"/>
        <w:rPr>
          <w:i/>
          <w:iCs/>
          <w:sz w:val="24"/>
          <w:szCs w:val="24"/>
        </w:rPr>
      </w:pPr>
      <w:bookmarkStart w:id="67" w:name="_Toc97895930"/>
      <w:r w:rsidRPr="005C14D6">
        <w:rPr>
          <w:i/>
          <w:iCs/>
          <w:sz w:val="24"/>
          <w:szCs w:val="24"/>
        </w:rPr>
        <w:t xml:space="preserve">7.4.5 </w:t>
      </w:r>
      <w:r w:rsidR="00BD617B" w:rsidRPr="005C14D6">
        <w:rPr>
          <w:i/>
          <w:iCs/>
          <w:sz w:val="24"/>
          <w:szCs w:val="24"/>
        </w:rPr>
        <w:t>Recommendation for Action</w:t>
      </w:r>
      <w:bookmarkEnd w:id="67"/>
      <w:r w:rsidR="00BD617B" w:rsidRPr="005C14D6">
        <w:rPr>
          <w:i/>
          <w:iCs/>
          <w:sz w:val="24"/>
          <w:szCs w:val="24"/>
        </w:rPr>
        <w:t xml:space="preserve"> </w:t>
      </w:r>
    </w:p>
    <w:p w14:paraId="442E727F" w14:textId="436DBF15" w:rsidR="00BD617B" w:rsidRPr="000C44A1" w:rsidRDefault="00BD617B" w:rsidP="002455DD">
      <w:pPr>
        <w:widowControl/>
        <w:autoSpaceDE w:val="0"/>
        <w:autoSpaceDN w:val="0"/>
        <w:adjustRightInd w:val="0"/>
        <w:spacing w:before="120" w:after="120" w:line="360" w:lineRule="auto"/>
        <w:ind w:left="900"/>
        <w:jc w:val="both"/>
        <w:rPr>
          <w:rFonts w:eastAsiaTheme="minorHAnsi"/>
          <w:sz w:val="24"/>
          <w:szCs w:val="24"/>
          <w:lang w:val="en-US"/>
        </w:rPr>
      </w:pPr>
      <w:r w:rsidRPr="002C028A">
        <w:rPr>
          <w:rFonts w:eastAsia="Calibri"/>
          <w:color w:val="000000" w:themeColor="text1"/>
          <w:sz w:val="24"/>
          <w:szCs w:val="24"/>
        </w:rPr>
        <w:t>The</w:t>
      </w:r>
      <w:r w:rsidRPr="002C028A">
        <w:rPr>
          <w:rFonts w:eastAsia="Calibri"/>
          <w:b/>
          <w:color w:val="000000" w:themeColor="text1"/>
          <w:sz w:val="24"/>
          <w:szCs w:val="24"/>
        </w:rPr>
        <w:t xml:space="preserve"> </w:t>
      </w:r>
      <w:r w:rsidRPr="002C028A">
        <w:rPr>
          <w:rFonts w:eastAsia="Calibri"/>
          <w:color w:val="000000" w:themeColor="text1"/>
          <w:sz w:val="24"/>
          <w:szCs w:val="24"/>
        </w:rPr>
        <w:t xml:space="preserve">effect of the newly identified risks shall be evaluated on the benefit-risk ratio of the therapeutic goods and subsequent risk minimization actions shall be initiated by </w:t>
      </w:r>
      <w:r w:rsidR="00CC13E3" w:rsidRPr="002C028A">
        <w:rPr>
          <w:rFonts w:eastAsia="Calibri"/>
          <w:color w:val="000000" w:themeColor="text1"/>
          <w:sz w:val="24"/>
          <w:szCs w:val="24"/>
        </w:rPr>
        <w:t>PRAEC, NPC</w:t>
      </w:r>
      <w:r w:rsidRPr="002C028A">
        <w:rPr>
          <w:rFonts w:eastAsia="Calibri"/>
          <w:color w:val="000000" w:themeColor="text1"/>
          <w:sz w:val="24"/>
          <w:szCs w:val="24"/>
        </w:rPr>
        <w:t xml:space="preserve">. </w:t>
      </w:r>
      <w:r w:rsidR="00585866" w:rsidRPr="002C028A">
        <w:rPr>
          <w:rFonts w:eastAsia="Calibri"/>
          <w:color w:val="000000" w:themeColor="text1"/>
          <w:sz w:val="24"/>
          <w:szCs w:val="24"/>
        </w:rPr>
        <w:t xml:space="preserve">Based on benefit-risk balance, alerts are generated from the assessed signals. </w:t>
      </w:r>
      <w:r w:rsidR="000C44A1" w:rsidRPr="002C028A">
        <w:rPr>
          <w:rFonts w:eastAsia="Calibri"/>
          <w:color w:val="000000" w:themeColor="text1"/>
          <w:sz w:val="24"/>
          <w:szCs w:val="24"/>
        </w:rPr>
        <w:t xml:space="preserve">Under </w:t>
      </w:r>
      <w:proofErr w:type="gramStart"/>
      <w:r w:rsidR="000C44A1" w:rsidRPr="002C028A">
        <w:rPr>
          <w:rFonts w:eastAsia="Calibri"/>
          <w:color w:val="000000" w:themeColor="text1"/>
          <w:sz w:val="24"/>
          <w:szCs w:val="24"/>
        </w:rPr>
        <w:t>clauses  (</w:t>
      </w:r>
      <w:proofErr w:type="gramEnd"/>
      <w:r w:rsidR="000C44A1" w:rsidRPr="002C028A">
        <w:rPr>
          <w:rFonts w:eastAsia="Calibri"/>
          <w:color w:val="000000" w:themeColor="text1"/>
          <w:sz w:val="24"/>
          <w:szCs w:val="24"/>
        </w:rPr>
        <w:t>e) and (g)</w:t>
      </w:r>
      <w:r w:rsidR="00585866" w:rsidRPr="002C028A">
        <w:rPr>
          <w:rFonts w:eastAsia="Calibri"/>
          <w:color w:val="000000" w:themeColor="text1"/>
          <w:sz w:val="24"/>
          <w:szCs w:val="24"/>
        </w:rPr>
        <w:t xml:space="preserve"> of </w:t>
      </w:r>
      <w:r w:rsidR="000C44A1" w:rsidRPr="002C028A">
        <w:rPr>
          <w:rFonts w:eastAsia="Calibri"/>
          <w:color w:val="000000" w:themeColor="text1"/>
          <w:sz w:val="24"/>
          <w:szCs w:val="24"/>
        </w:rPr>
        <w:t xml:space="preserve">sub-rule (1) of </w:t>
      </w:r>
      <w:r w:rsidR="00585866" w:rsidRPr="002C028A">
        <w:rPr>
          <w:rFonts w:eastAsia="Calibri"/>
          <w:color w:val="000000" w:themeColor="text1"/>
          <w:sz w:val="24"/>
          <w:szCs w:val="24"/>
        </w:rPr>
        <w:t>Rule 10 of Pharmacovigilance Rules</w:t>
      </w:r>
      <w:r w:rsidR="000C44A1" w:rsidRPr="002C028A">
        <w:rPr>
          <w:rFonts w:eastAsia="Calibri"/>
          <w:color w:val="000000" w:themeColor="text1"/>
          <w:sz w:val="24"/>
          <w:szCs w:val="24"/>
        </w:rPr>
        <w:t>,</w:t>
      </w:r>
      <w:r w:rsidR="001F7129">
        <w:rPr>
          <w:rFonts w:eastAsia="Calibri"/>
          <w:color w:val="000000" w:themeColor="text1"/>
          <w:sz w:val="24"/>
          <w:szCs w:val="24"/>
        </w:rPr>
        <w:t xml:space="preserve"> </w:t>
      </w:r>
      <w:r w:rsidR="000C44A1" w:rsidRPr="002C028A">
        <w:rPr>
          <w:rFonts w:eastAsia="Calibri"/>
          <w:color w:val="000000" w:themeColor="text1"/>
          <w:sz w:val="24"/>
          <w:szCs w:val="24"/>
        </w:rPr>
        <w:t>the PRAEC</w:t>
      </w:r>
      <w:r w:rsidR="00585866" w:rsidRPr="002C028A">
        <w:rPr>
          <w:rFonts w:eastAsia="Calibri"/>
          <w:color w:val="000000" w:themeColor="text1"/>
          <w:sz w:val="24"/>
          <w:szCs w:val="24"/>
        </w:rPr>
        <w:t xml:space="preserve"> </w:t>
      </w:r>
      <w:r w:rsidR="000C44A1" w:rsidRPr="002C028A">
        <w:rPr>
          <w:rFonts w:eastAsia="Calibri"/>
          <w:color w:val="000000" w:themeColor="text1"/>
          <w:sz w:val="24"/>
          <w:szCs w:val="24"/>
        </w:rPr>
        <w:t>shall</w:t>
      </w:r>
      <w:r w:rsidR="00585866" w:rsidRPr="002C028A">
        <w:rPr>
          <w:rFonts w:eastAsia="Calibri"/>
          <w:color w:val="000000" w:themeColor="text1"/>
          <w:sz w:val="24"/>
          <w:szCs w:val="24"/>
        </w:rPr>
        <w:t xml:space="preserve"> recommend </w:t>
      </w:r>
      <w:r w:rsidR="000C44A1" w:rsidRPr="002C028A">
        <w:rPr>
          <w:rFonts w:eastAsia="Calibri"/>
          <w:color w:val="000000" w:themeColor="text1"/>
          <w:sz w:val="24"/>
          <w:szCs w:val="24"/>
        </w:rPr>
        <w:t xml:space="preserve">to the </w:t>
      </w:r>
      <w:r w:rsidR="000C44A1" w:rsidRPr="002C028A">
        <w:rPr>
          <w:rFonts w:eastAsiaTheme="minorHAnsi"/>
          <w:sz w:val="24"/>
          <w:szCs w:val="24"/>
          <w:lang w:val="en-US"/>
        </w:rPr>
        <w:t>conce</w:t>
      </w:r>
      <w:r w:rsidR="001F7129">
        <w:rPr>
          <w:rFonts w:eastAsiaTheme="minorHAnsi"/>
          <w:sz w:val="24"/>
          <w:szCs w:val="24"/>
          <w:lang w:val="en-US"/>
        </w:rPr>
        <w:t>rn</w:t>
      </w:r>
      <w:r w:rsidR="000C44A1" w:rsidRPr="002C028A">
        <w:rPr>
          <w:rFonts w:eastAsiaTheme="minorHAnsi"/>
          <w:sz w:val="24"/>
          <w:szCs w:val="24"/>
          <w:lang w:val="en-US"/>
        </w:rPr>
        <w:t>ed Board, Committee or Division for variation, suspension, revocation, market withdrawal, change in safety specification or any other action which it considers appropriate</w:t>
      </w:r>
      <w:r w:rsidR="00C266E5" w:rsidRPr="002C028A">
        <w:rPr>
          <w:rFonts w:eastAsiaTheme="minorHAnsi"/>
          <w:sz w:val="24"/>
          <w:szCs w:val="24"/>
          <w:lang w:val="en-US"/>
        </w:rPr>
        <w:t>.</w:t>
      </w:r>
    </w:p>
    <w:p w14:paraId="44EB46CF" w14:textId="1255394C" w:rsidR="00BD617B" w:rsidRPr="00336F1D" w:rsidRDefault="00937F6A" w:rsidP="00336F1D">
      <w:pPr>
        <w:ind w:left="540"/>
        <w:rPr>
          <w:i/>
          <w:iCs/>
          <w:sz w:val="24"/>
          <w:szCs w:val="24"/>
        </w:rPr>
      </w:pPr>
      <w:bookmarkStart w:id="68" w:name="_Toc97895931"/>
      <w:r w:rsidRPr="00336F1D">
        <w:rPr>
          <w:i/>
          <w:iCs/>
          <w:sz w:val="24"/>
          <w:szCs w:val="24"/>
        </w:rPr>
        <w:t xml:space="preserve">7.4.6 </w:t>
      </w:r>
      <w:r w:rsidR="00BD617B" w:rsidRPr="00336F1D">
        <w:rPr>
          <w:i/>
          <w:iCs/>
          <w:sz w:val="24"/>
          <w:szCs w:val="24"/>
        </w:rPr>
        <w:t>Exchange of Information:</w:t>
      </w:r>
      <w:bookmarkEnd w:id="68"/>
      <w:r w:rsidR="00BD617B" w:rsidRPr="00336F1D">
        <w:rPr>
          <w:i/>
          <w:iCs/>
          <w:sz w:val="24"/>
          <w:szCs w:val="24"/>
        </w:rPr>
        <w:t xml:space="preserve"> </w:t>
      </w:r>
    </w:p>
    <w:p w14:paraId="11083ECE" w14:textId="47A35157" w:rsidR="006C4F1F" w:rsidRDefault="00BD617B" w:rsidP="002455DD">
      <w:pPr>
        <w:widowControl/>
        <w:spacing w:before="120" w:after="120" w:line="360" w:lineRule="auto"/>
        <w:ind w:left="900"/>
        <w:jc w:val="both"/>
        <w:rPr>
          <w:rFonts w:asciiTheme="majorBidi" w:eastAsia="Calibri" w:hAnsiTheme="majorBidi" w:cstheme="majorBidi"/>
          <w:color w:val="000000" w:themeColor="text1"/>
          <w:sz w:val="24"/>
          <w:szCs w:val="24"/>
        </w:rPr>
      </w:pPr>
      <w:r w:rsidRPr="00B0455C">
        <w:rPr>
          <w:rFonts w:asciiTheme="majorBidi" w:eastAsia="Calibri" w:hAnsiTheme="majorBidi" w:cstheme="majorBidi"/>
          <w:color w:val="000000" w:themeColor="text1"/>
          <w:sz w:val="24"/>
          <w:szCs w:val="24"/>
        </w:rPr>
        <w:t>NPC-DRAP</w:t>
      </w:r>
      <w:r w:rsidR="005A15CB">
        <w:rPr>
          <w:rFonts w:asciiTheme="majorBidi" w:eastAsia="Calibri" w:hAnsiTheme="majorBidi" w:cstheme="majorBidi"/>
          <w:color w:val="000000" w:themeColor="text1"/>
          <w:sz w:val="24"/>
          <w:szCs w:val="24"/>
        </w:rPr>
        <w:t xml:space="preserve">, PPCs and </w:t>
      </w:r>
      <w:r w:rsidRPr="00B0455C">
        <w:rPr>
          <w:rFonts w:asciiTheme="majorBidi" w:eastAsia="Calibri" w:hAnsiTheme="majorBidi" w:cstheme="majorBidi"/>
          <w:color w:val="000000" w:themeColor="text1"/>
          <w:sz w:val="24"/>
          <w:szCs w:val="24"/>
        </w:rPr>
        <w:t xml:space="preserve">registration holders accordingly communicate </w:t>
      </w:r>
      <w:r w:rsidR="005A15CB">
        <w:rPr>
          <w:rFonts w:asciiTheme="majorBidi" w:eastAsia="Calibri" w:hAnsiTheme="majorBidi" w:cstheme="majorBidi"/>
          <w:color w:val="000000" w:themeColor="text1"/>
          <w:sz w:val="24"/>
          <w:szCs w:val="24"/>
        </w:rPr>
        <w:t xml:space="preserve">among themselves and </w:t>
      </w:r>
      <w:r w:rsidRPr="00B0455C">
        <w:rPr>
          <w:rFonts w:asciiTheme="majorBidi" w:eastAsia="Calibri" w:hAnsiTheme="majorBidi" w:cstheme="majorBidi"/>
          <w:color w:val="000000" w:themeColor="text1"/>
          <w:sz w:val="24"/>
          <w:szCs w:val="24"/>
        </w:rPr>
        <w:t>with healthcare professionals, media and patients etc. about the new</w:t>
      </w:r>
      <w:r w:rsidR="005A15CB">
        <w:rPr>
          <w:rFonts w:asciiTheme="majorBidi" w:eastAsia="Calibri" w:hAnsiTheme="majorBidi" w:cstheme="majorBidi"/>
          <w:color w:val="000000" w:themeColor="text1"/>
          <w:sz w:val="24"/>
          <w:szCs w:val="24"/>
        </w:rPr>
        <w:t>ly detected</w:t>
      </w:r>
      <w:r w:rsidRPr="00B0455C">
        <w:rPr>
          <w:rFonts w:asciiTheme="majorBidi" w:eastAsia="Calibri" w:hAnsiTheme="majorBidi" w:cstheme="majorBidi"/>
          <w:color w:val="000000" w:themeColor="text1"/>
          <w:sz w:val="24"/>
          <w:szCs w:val="24"/>
        </w:rPr>
        <w:t xml:space="preserve"> signal</w:t>
      </w:r>
      <w:r w:rsidR="005A15CB">
        <w:rPr>
          <w:rFonts w:asciiTheme="majorBidi" w:eastAsia="Calibri" w:hAnsiTheme="majorBidi" w:cstheme="majorBidi"/>
          <w:color w:val="000000" w:themeColor="text1"/>
          <w:sz w:val="24"/>
          <w:szCs w:val="24"/>
        </w:rPr>
        <w:t>s</w:t>
      </w:r>
      <w:r w:rsidRPr="00B0455C">
        <w:rPr>
          <w:rFonts w:asciiTheme="majorBidi" w:eastAsia="Calibri" w:hAnsiTheme="majorBidi" w:cstheme="majorBidi"/>
          <w:color w:val="000000" w:themeColor="text1"/>
          <w:sz w:val="24"/>
          <w:szCs w:val="24"/>
        </w:rPr>
        <w:t>.</w:t>
      </w:r>
    </w:p>
    <w:p w14:paraId="4A50DBFB" w14:textId="43BC8BF5" w:rsidR="006C4F1F" w:rsidRPr="00AE3F76" w:rsidRDefault="00AE3F76" w:rsidP="00AE3F76">
      <w:pPr>
        <w:rPr>
          <w:b/>
          <w:bCs/>
          <w:sz w:val="28"/>
          <w:szCs w:val="28"/>
          <w:u w:val="single"/>
        </w:rPr>
      </w:pPr>
      <w:r w:rsidRPr="00AE3F76">
        <w:rPr>
          <w:b/>
          <w:bCs/>
          <w:sz w:val="28"/>
          <w:szCs w:val="28"/>
        </w:rPr>
        <w:t xml:space="preserve">7.5 </w:t>
      </w:r>
      <w:r w:rsidR="006C4F1F" w:rsidRPr="00AE3F76">
        <w:rPr>
          <w:b/>
          <w:bCs/>
          <w:sz w:val="28"/>
          <w:szCs w:val="28"/>
          <w:u w:val="single"/>
        </w:rPr>
        <w:t>Signal Review Group</w:t>
      </w:r>
    </w:p>
    <w:p w14:paraId="1B1401D4" w14:textId="143B5C49" w:rsidR="006C4F1F" w:rsidRDefault="001F7129" w:rsidP="002455DD">
      <w:pPr>
        <w:spacing w:before="120" w:after="120" w:line="360" w:lineRule="auto"/>
        <w:ind w:left="547"/>
        <w:jc w:val="both"/>
        <w:rPr>
          <w:bCs/>
          <w:sz w:val="24"/>
          <w:szCs w:val="24"/>
        </w:rPr>
      </w:pPr>
      <w:r>
        <w:rPr>
          <w:bCs/>
          <w:sz w:val="24"/>
          <w:szCs w:val="24"/>
        </w:rPr>
        <w:lastRenderedPageBreak/>
        <w:t>The s</w:t>
      </w:r>
      <w:r w:rsidR="006C4F1F" w:rsidRPr="006B3CF2">
        <w:rPr>
          <w:bCs/>
          <w:sz w:val="24"/>
          <w:szCs w:val="24"/>
        </w:rPr>
        <w:t>ignal review group at NPC perform the process of signal detection</w:t>
      </w:r>
      <w:r w:rsidR="008768A0">
        <w:rPr>
          <w:bCs/>
          <w:sz w:val="24"/>
          <w:szCs w:val="24"/>
        </w:rPr>
        <w:t xml:space="preserve"> and validation</w:t>
      </w:r>
      <w:r w:rsidR="006C4F1F" w:rsidRPr="006B3CF2">
        <w:rPr>
          <w:bCs/>
          <w:sz w:val="24"/>
          <w:szCs w:val="24"/>
        </w:rPr>
        <w:t>. This group meets on monthly basis</w:t>
      </w:r>
      <w:r w:rsidR="00A265FF">
        <w:rPr>
          <w:bCs/>
          <w:sz w:val="24"/>
          <w:szCs w:val="24"/>
        </w:rPr>
        <w:t xml:space="preserve"> or when required and perform</w:t>
      </w:r>
      <w:r>
        <w:rPr>
          <w:bCs/>
          <w:sz w:val="24"/>
          <w:szCs w:val="24"/>
        </w:rPr>
        <w:t>s</w:t>
      </w:r>
      <w:r w:rsidR="00A265FF">
        <w:rPr>
          <w:bCs/>
          <w:sz w:val="24"/>
          <w:szCs w:val="24"/>
        </w:rPr>
        <w:t xml:space="preserve"> the signal detection either through </w:t>
      </w:r>
      <w:r>
        <w:rPr>
          <w:bCs/>
          <w:sz w:val="24"/>
          <w:szCs w:val="24"/>
        </w:rPr>
        <w:t xml:space="preserve">the </w:t>
      </w:r>
      <w:r w:rsidR="00A265FF">
        <w:rPr>
          <w:bCs/>
          <w:sz w:val="24"/>
          <w:szCs w:val="24"/>
        </w:rPr>
        <w:t xml:space="preserve">qualitative or quantitative method. It may </w:t>
      </w:r>
      <w:r w:rsidR="006C4F1F" w:rsidRPr="006B3CF2">
        <w:rPr>
          <w:bCs/>
          <w:sz w:val="24"/>
          <w:szCs w:val="24"/>
        </w:rPr>
        <w:t xml:space="preserve">search the database through </w:t>
      </w:r>
      <w:proofErr w:type="spellStart"/>
      <w:r w:rsidR="006C4F1F" w:rsidRPr="006B3CF2">
        <w:rPr>
          <w:bCs/>
          <w:sz w:val="24"/>
          <w:szCs w:val="24"/>
        </w:rPr>
        <w:t>VigiLyze</w:t>
      </w:r>
      <w:proofErr w:type="spellEnd"/>
      <w:r w:rsidR="006C4F1F" w:rsidRPr="006B3CF2">
        <w:rPr>
          <w:bCs/>
          <w:sz w:val="24"/>
          <w:szCs w:val="24"/>
        </w:rPr>
        <w:t xml:space="preserve"> for any rise in IC value (data mining driven signals</w:t>
      </w:r>
      <w:r w:rsidR="00A265FF">
        <w:rPr>
          <w:bCs/>
          <w:sz w:val="24"/>
          <w:szCs w:val="24"/>
        </w:rPr>
        <w:t xml:space="preserve"> or quantitative method</w:t>
      </w:r>
      <w:r w:rsidR="006C4F1F" w:rsidRPr="006B3CF2">
        <w:rPr>
          <w:bCs/>
          <w:sz w:val="24"/>
          <w:szCs w:val="24"/>
        </w:rPr>
        <w:t>), or if any new information of possible causal relationship has been found (hypothesis</w:t>
      </w:r>
      <w:r>
        <w:rPr>
          <w:bCs/>
          <w:sz w:val="24"/>
          <w:szCs w:val="24"/>
        </w:rPr>
        <w:t>-</w:t>
      </w:r>
      <w:r w:rsidR="006C4F1F" w:rsidRPr="006B3CF2">
        <w:rPr>
          <w:bCs/>
          <w:sz w:val="24"/>
          <w:szCs w:val="24"/>
        </w:rPr>
        <w:t>driven signal</w:t>
      </w:r>
      <w:r w:rsidR="00A265FF">
        <w:rPr>
          <w:bCs/>
          <w:sz w:val="24"/>
          <w:szCs w:val="24"/>
        </w:rPr>
        <w:t xml:space="preserve"> or qua</w:t>
      </w:r>
      <w:r>
        <w:rPr>
          <w:bCs/>
          <w:sz w:val="24"/>
          <w:szCs w:val="24"/>
        </w:rPr>
        <w:t>litative</w:t>
      </w:r>
      <w:r w:rsidR="00A265FF">
        <w:rPr>
          <w:bCs/>
          <w:sz w:val="24"/>
          <w:szCs w:val="24"/>
        </w:rPr>
        <w:t xml:space="preserve"> method</w:t>
      </w:r>
      <w:r w:rsidR="006C4F1F" w:rsidRPr="006B3CF2">
        <w:rPr>
          <w:bCs/>
          <w:sz w:val="24"/>
          <w:szCs w:val="24"/>
        </w:rPr>
        <w:t>). The signal is further evaluated by finding information o</w:t>
      </w:r>
      <w:r>
        <w:rPr>
          <w:bCs/>
          <w:sz w:val="24"/>
          <w:szCs w:val="24"/>
        </w:rPr>
        <w:t>n</w:t>
      </w:r>
      <w:r w:rsidR="006C4F1F" w:rsidRPr="006B3CF2">
        <w:rPr>
          <w:bCs/>
          <w:sz w:val="24"/>
          <w:szCs w:val="24"/>
        </w:rPr>
        <w:t xml:space="preserve"> the possible causal relationship through the above</w:t>
      </w:r>
      <w:r>
        <w:rPr>
          <w:bCs/>
          <w:sz w:val="24"/>
          <w:szCs w:val="24"/>
        </w:rPr>
        <w:t>-</w:t>
      </w:r>
      <w:r w:rsidR="006C4F1F" w:rsidRPr="006B3CF2">
        <w:rPr>
          <w:bCs/>
          <w:sz w:val="24"/>
          <w:szCs w:val="24"/>
        </w:rPr>
        <w:t xml:space="preserve">mentioned steps. If </w:t>
      </w:r>
      <w:r>
        <w:rPr>
          <w:bCs/>
          <w:sz w:val="24"/>
          <w:szCs w:val="24"/>
        </w:rPr>
        <w:t xml:space="preserve">a </w:t>
      </w:r>
      <w:r w:rsidR="006C4F1F" w:rsidRPr="006B3CF2">
        <w:rPr>
          <w:bCs/>
          <w:sz w:val="24"/>
          <w:szCs w:val="24"/>
        </w:rPr>
        <w:t xml:space="preserve">signal poses </w:t>
      </w:r>
      <w:r>
        <w:rPr>
          <w:bCs/>
          <w:sz w:val="24"/>
          <w:szCs w:val="24"/>
        </w:rPr>
        <w:t xml:space="preserve">a </w:t>
      </w:r>
      <w:r w:rsidR="006C4F1F" w:rsidRPr="006B3CF2">
        <w:rPr>
          <w:bCs/>
          <w:sz w:val="24"/>
          <w:szCs w:val="24"/>
        </w:rPr>
        <w:t>serious threat to public health it is prioriti</w:t>
      </w:r>
      <w:r>
        <w:rPr>
          <w:bCs/>
          <w:sz w:val="24"/>
          <w:szCs w:val="24"/>
        </w:rPr>
        <w:t>sed</w:t>
      </w:r>
      <w:r w:rsidR="006C4F1F" w:rsidRPr="006B3CF2">
        <w:rPr>
          <w:bCs/>
          <w:sz w:val="24"/>
          <w:szCs w:val="24"/>
        </w:rPr>
        <w:t>. The case is then presented in the forthcoming meeting of PRAEC, which after deliberation and final assessment either refute</w:t>
      </w:r>
      <w:r>
        <w:rPr>
          <w:bCs/>
          <w:sz w:val="24"/>
          <w:szCs w:val="24"/>
        </w:rPr>
        <w:t>s</w:t>
      </w:r>
      <w:r w:rsidR="006C4F1F" w:rsidRPr="006B3CF2">
        <w:rPr>
          <w:bCs/>
          <w:sz w:val="24"/>
          <w:szCs w:val="24"/>
        </w:rPr>
        <w:t xml:space="preserve"> the signal or confirm it with </w:t>
      </w:r>
      <w:r>
        <w:rPr>
          <w:bCs/>
          <w:sz w:val="24"/>
          <w:szCs w:val="24"/>
        </w:rPr>
        <w:t xml:space="preserve">the </w:t>
      </w:r>
      <w:r w:rsidR="006C4F1F" w:rsidRPr="006B3CF2">
        <w:rPr>
          <w:bCs/>
          <w:sz w:val="24"/>
          <w:szCs w:val="24"/>
        </w:rPr>
        <w:t>necessary recommendation in the form of regulatory actions or risk minimization measures.</w:t>
      </w:r>
    </w:p>
    <w:p w14:paraId="4ABBA66A" w14:textId="08867E5E" w:rsidR="00BD617B" w:rsidRPr="006C4F1F" w:rsidRDefault="00BD617B" w:rsidP="006C4F1F">
      <w:pPr>
        <w:rPr>
          <w:bCs/>
          <w:sz w:val="24"/>
          <w:szCs w:val="24"/>
        </w:rPr>
      </w:pPr>
    </w:p>
    <w:p w14:paraId="045E22E1" w14:textId="77777777" w:rsidR="00BD617B" w:rsidRPr="00B0455C" w:rsidRDefault="00BD617B" w:rsidP="00BD617B">
      <w:pPr>
        <w:rPr>
          <w:rFonts w:asciiTheme="majorBidi" w:hAnsiTheme="majorBidi" w:cstheme="majorBidi"/>
        </w:rPr>
      </w:pPr>
    </w:p>
    <w:p w14:paraId="2A6CD480" w14:textId="7EF033A6" w:rsidR="00BD617B" w:rsidRPr="00B0455C" w:rsidRDefault="00BD617B" w:rsidP="00BD617B">
      <w:pPr>
        <w:spacing w:before="120" w:after="120" w:line="360" w:lineRule="auto"/>
        <w:jc w:val="both"/>
        <w:rPr>
          <w:rFonts w:asciiTheme="majorBidi" w:hAnsiTheme="majorBidi" w:cstheme="majorBidi"/>
          <w:sz w:val="24"/>
          <w:szCs w:val="24"/>
        </w:rPr>
      </w:pPr>
      <w:r w:rsidRPr="00B0455C">
        <w:rPr>
          <w:rFonts w:asciiTheme="majorBidi" w:hAnsiTheme="majorBidi" w:cstheme="majorBidi"/>
          <w:noProof/>
          <w:lang w:val="en-US"/>
        </w:rPr>
        <w:drawing>
          <wp:inline distT="0" distB="0" distL="0" distR="0" wp14:anchorId="09FA61C2" wp14:editId="6584F709">
            <wp:extent cx="5943600" cy="1742395"/>
            <wp:effectExtent l="0" t="0" r="0" b="0"/>
            <wp:docPr id="14" name="Picture 14" descr="C:\Users\DirPharmacy_2\Desktop\Untitle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Pharmacy_2\Desktop\Untitled3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742395"/>
                    </a:xfrm>
                    <a:prstGeom prst="rect">
                      <a:avLst/>
                    </a:prstGeom>
                    <a:noFill/>
                    <a:ln>
                      <a:noFill/>
                    </a:ln>
                  </pic:spPr>
                </pic:pic>
              </a:graphicData>
            </a:graphic>
          </wp:inline>
        </w:drawing>
      </w:r>
    </w:p>
    <w:p w14:paraId="2C210645" w14:textId="77777777" w:rsidR="00BD617B" w:rsidRPr="00B0455C" w:rsidRDefault="00BD617B" w:rsidP="00BD617B">
      <w:pPr>
        <w:widowControl/>
        <w:spacing w:before="120" w:after="120" w:line="360" w:lineRule="auto"/>
        <w:jc w:val="both"/>
        <w:rPr>
          <w:rFonts w:asciiTheme="majorBidi" w:hAnsiTheme="majorBidi" w:cstheme="majorBidi"/>
          <w:sz w:val="24"/>
          <w:szCs w:val="24"/>
        </w:rPr>
      </w:pPr>
      <w:r w:rsidRPr="00B0455C">
        <w:rPr>
          <w:rFonts w:asciiTheme="majorBidi" w:hAnsiTheme="majorBidi" w:cstheme="majorBidi"/>
          <w:sz w:val="24"/>
          <w:szCs w:val="24"/>
        </w:rPr>
        <w:br w:type="page"/>
      </w:r>
    </w:p>
    <w:tbl>
      <w:tblPr>
        <w:tblStyle w:val="TableGrid"/>
        <w:tblW w:w="0" w:type="auto"/>
        <w:tblInd w:w="265" w:type="dxa"/>
        <w:tblLook w:val="04A0" w:firstRow="1" w:lastRow="0" w:firstColumn="1" w:lastColumn="0" w:noHBand="0" w:noVBand="1"/>
      </w:tblPr>
      <w:tblGrid>
        <w:gridCol w:w="9085"/>
      </w:tblGrid>
      <w:tr w:rsidR="006C4F1F" w14:paraId="6FFB8375" w14:textId="77777777" w:rsidTr="007A1EA5">
        <w:tc>
          <w:tcPr>
            <w:tcW w:w="9085" w:type="dxa"/>
            <w:shd w:val="clear" w:color="auto" w:fill="00B0F0"/>
          </w:tcPr>
          <w:p w14:paraId="7DE25C4A" w14:textId="6D20147B" w:rsidR="006C4F1F" w:rsidRPr="007A1EA5" w:rsidRDefault="006C4F1F" w:rsidP="007A1EA5">
            <w:pPr>
              <w:spacing w:line="276" w:lineRule="auto"/>
              <w:jc w:val="center"/>
              <w:rPr>
                <w:b/>
                <w:bCs/>
                <w:sz w:val="24"/>
                <w:szCs w:val="24"/>
              </w:rPr>
            </w:pPr>
            <w:r w:rsidRPr="00586596">
              <w:rPr>
                <w:b/>
                <w:bCs/>
                <w:sz w:val="28"/>
                <w:szCs w:val="28"/>
              </w:rPr>
              <w:lastRenderedPageBreak/>
              <w:t>CHAPTER 8</w:t>
            </w:r>
          </w:p>
        </w:tc>
      </w:tr>
    </w:tbl>
    <w:p w14:paraId="7F1A01CA" w14:textId="77777777" w:rsidR="006C4F1F" w:rsidRPr="00152F5A" w:rsidRDefault="006C4F1F" w:rsidP="00893329">
      <w:pPr>
        <w:pStyle w:val="Heading1"/>
        <w:rPr>
          <w:sz w:val="18"/>
          <w:szCs w:val="18"/>
        </w:rPr>
      </w:pPr>
      <w:bookmarkStart w:id="69" w:name="_Toc97895932"/>
    </w:p>
    <w:p w14:paraId="399EDC45" w14:textId="77D82012" w:rsidR="000A5F3B" w:rsidRPr="00EF531C" w:rsidRDefault="006C4F1F" w:rsidP="00B551AA">
      <w:pPr>
        <w:pStyle w:val="ListParagraph"/>
        <w:numPr>
          <w:ilvl w:val="0"/>
          <w:numId w:val="72"/>
        </w:numPr>
        <w:ind w:left="90" w:hanging="90"/>
        <w:rPr>
          <w:rStyle w:val="Level1DRAPChar"/>
          <w:bCs/>
        </w:rPr>
      </w:pPr>
      <w:bookmarkStart w:id="70" w:name="_Toc110329933"/>
      <w:r w:rsidRPr="006635C4">
        <w:rPr>
          <w:rStyle w:val="Level1DRAPChar"/>
          <w:bCs/>
        </w:rPr>
        <w:t>SAFETY COMMUNICATIONS</w:t>
      </w:r>
      <w:bookmarkEnd w:id="69"/>
      <w:r w:rsidRPr="006635C4">
        <w:rPr>
          <w:rStyle w:val="Level1DRAPChar"/>
          <w:bCs/>
        </w:rPr>
        <w:t xml:space="preserve"> &amp; </w:t>
      </w:r>
      <w:bookmarkStart w:id="71" w:name="_Toc97895948"/>
      <w:r w:rsidRPr="006635C4">
        <w:rPr>
          <w:rStyle w:val="Level1DRAPChar"/>
          <w:bCs/>
        </w:rPr>
        <w:t>RISK MINIMIZATION MEASURES</w:t>
      </w:r>
      <w:bookmarkEnd w:id="70"/>
      <w:bookmarkEnd w:id="71"/>
    </w:p>
    <w:p w14:paraId="1B766ED1" w14:textId="530BCF23" w:rsidR="006C4F1F" w:rsidRPr="000A5F3B" w:rsidRDefault="000A5F3B" w:rsidP="00EF531C">
      <w:pPr>
        <w:spacing w:before="120" w:after="120" w:line="360" w:lineRule="auto"/>
        <w:rPr>
          <w:b/>
          <w:bCs/>
          <w:sz w:val="28"/>
          <w:szCs w:val="28"/>
          <w:u w:val="single"/>
        </w:rPr>
      </w:pPr>
      <w:bookmarkStart w:id="72" w:name="_Toc109904327"/>
      <w:bookmarkStart w:id="73" w:name="_Toc109904619"/>
      <w:bookmarkStart w:id="74" w:name="_Toc109904752"/>
      <w:bookmarkStart w:id="75" w:name="_Toc109905011"/>
      <w:bookmarkStart w:id="76" w:name="_Toc109906816"/>
      <w:bookmarkStart w:id="77" w:name="_Toc109907428"/>
      <w:bookmarkStart w:id="78" w:name="_Toc109907533"/>
      <w:bookmarkStart w:id="79" w:name="_Toc109913006"/>
      <w:bookmarkStart w:id="80" w:name="_Toc109913102"/>
      <w:bookmarkStart w:id="81" w:name="_Toc109913197"/>
      <w:bookmarkStart w:id="82" w:name="_Toc109904334"/>
      <w:bookmarkStart w:id="83" w:name="_Toc109904626"/>
      <w:bookmarkStart w:id="84" w:name="_Toc109904759"/>
      <w:bookmarkStart w:id="85" w:name="_Toc109905018"/>
      <w:bookmarkStart w:id="86" w:name="_Toc109906823"/>
      <w:bookmarkStart w:id="87" w:name="_Toc109907435"/>
      <w:bookmarkStart w:id="88" w:name="_Toc109907540"/>
      <w:bookmarkStart w:id="89" w:name="_Toc109913013"/>
      <w:bookmarkStart w:id="90" w:name="_Toc109913109"/>
      <w:bookmarkStart w:id="91" w:name="_Toc109913204"/>
      <w:bookmarkStart w:id="92" w:name="_Toc9789593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0A5F3B">
        <w:rPr>
          <w:b/>
          <w:bCs/>
          <w:sz w:val="28"/>
          <w:szCs w:val="28"/>
        </w:rPr>
        <w:t>8.1</w:t>
      </w:r>
      <w:r w:rsidRPr="000A5F3B">
        <w:rPr>
          <w:sz w:val="28"/>
          <w:szCs w:val="28"/>
        </w:rPr>
        <w:t xml:space="preserve"> </w:t>
      </w:r>
      <w:r w:rsidR="006C4F1F" w:rsidRPr="000A5F3B">
        <w:rPr>
          <w:b/>
          <w:bCs/>
          <w:sz w:val="28"/>
          <w:szCs w:val="28"/>
          <w:u w:val="single"/>
        </w:rPr>
        <w:t xml:space="preserve">Safety </w:t>
      </w:r>
      <w:r w:rsidR="00994B48" w:rsidRPr="000A5F3B">
        <w:rPr>
          <w:b/>
          <w:bCs/>
          <w:sz w:val="28"/>
          <w:szCs w:val="28"/>
          <w:u w:val="single"/>
        </w:rPr>
        <w:t>communication</w:t>
      </w:r>
      <w:bookmarkEnd w:id="92"/>
    </w:p>
    <w:p w14:paraId="298614F4" w14:textId="09734B23" w:rsidR="006C4F1F" w:rsidRPr="00274827" w:rsidRDefault="006C4F1F" w:rsidP="00274827">
      <w:pPr>
        <w:spacing w:before="120" w:after="120" w:line="360" w:lineRule="auto"/>
        <w:ind w:left="547"/>
        <w:jc w:val="both"/>
        <w:rPr>
          <w:sz w:val="24"/>
          <w:szCs w:val="24"/>
        </w:rPr>
      </w:pPr>
      <w:r w:rsidRPr="00274827">
        <w:rPr>
          <w:sz w:val="24"/>
          <w:szCs w:val="24"/>
        </w:rPr>
        <w:t xml:space="preserve">The safety communication module guides NPC, DRAP on how to communicate and coordinate safety information. Communicating safety information to patients and healthcare professionals is a public health responsibility and is essential for achieving the objectives of pharmacovigilance in terms of promoting the rational, safe and effective use of medicines, preventing harm from adverse reactions, </w:t>
      </w:r>
      <w:r w:rsidR="00117046" w:rsidRPr="00274827">
        <w:rPr>
          <w:sz w:val="24"/>
          <w:szCs w:val="24"/>
        </w:rPr>
        <w:t xml:space="preserve">and </w:t>
      </w:r>
      <w:r w:rsidRPr="00274827">
        <w:rPr>
          <w:sz w:val="24"/>
          <w:szCs w:val="24"/>
        </w:rPr>
        <w:t xml:space="preserve">minimising risks and contributing to the protection of patients and public health. </w:t>
      </w:r>
    </w:p>
    <w:p w14:paraId="17DEA3FE" w14:textId="77777777" w:rsidR="006C4F1F" w:rsidRPr="00274827" w:rsidRDefault="006C4F1F" w:rsidP="00274827">
      <w:pPr>
        <w:spacing w:before="120" w:after="120" w:line="360" w:lineRule="auto"/>
        <w:ind w:left="547"/>
        <w:jc w:val="both"/>
        <w:rPr>
          <w:rFonts w:asciiTheme="majorBidi" w:hAnsiTheme="majorBidi" w:cstheme="majorBidi"/>
          <w:color w:val="000000" w:themeColor="text1"/>
          <w:sz w:val="24"/>
          <w:szCs w:val="24"/>
        </w:rPr>
      </w:pPr>
      <w:r w:rsidRPr="00274827">
        <w:rPr>
          <w:rFonts w:asciiTheme="majorBidi" w:hAnsiTheme="majorBidi" w:cstheme="majorBidi"/>
          <w:color w:val="000000" w:themeColor="text1"/>
          <w:sz w:val="24"/>
          <w:szCs w:val="24"/>
        </w:rPr>
        <w:t xml:space="preserve">Safety communication is a broad term covering different types of information on medicines, including statutory information as contained in the prescribing information (i.e. the summary of product characteristics (SmPC) or safety specification, package leaflet (PL) and the labelling of the packaging. </w:t>
      </w:r>
    </w:p>
    <w:p w14:paraId="53460876" w14:textId="13B01403" w:rsidR="006C4F1F" w:rsidRPr="00EF531C" w:rsidRDefault="00EF531C" w:rsidP="00EF531C">
      <w:pPr>
        <w:spacing w:before="120" w:after="120" w:line="360" w:lineRule="auto"/>
        <w:rPr>
          <w:b/>
          <w:bCs/>
          <w:sz w:val="28"/>
          <w:szCs w:val="28"/>
        </w:rPr>
      </w:pPr>
      <w:bookmarkStart w:id="93" w:name="_Toc97895934"/>
      <w:r>
        <w:rPr>
          <w:b/>
          <w:bCs/>
          <w:sz w:val="28"/>
          <w:szCs w:val="28"/>
        </w:rPr>
        <w:t xml:space="preserve">8.2 </w:t>
      </w:r>
      <w:r w:rsidR="006C4F1F" w:rsidRPr="00EF531C">
        <w:rPr>
          <w:b/>
          <w:bCs/>
          <w:sz w:val="28"/>
          <w:szCs w:val="28"/>
          <w:u w:val="single"/>
        </w:rPr>
        <w:t xml:space="preserve">Content of </w:t>
      </w:r>
      <w:r w:rsidR="007F5280" w:rsidRPr="00EF531C">
        <w:rPr>
          <w:b/>
          <w:bCs/>
          <w:sz w:val="28"/>
          <w:szCs w:val="28"/>
          <w:u w:val="single"/>
        </w:rPr>
        <w:t>safety communication</w:t>
      </w:r>
      <w:r w:rsidR="006C4F1F" w:rsidRPr="00EF531C">
        <w:rPr>
          <w:b/>
          <w:bCs/>
          <w:sz w:val="28"/>
          <w:szCs w:val="28"/>
        </w:rPr>
        <w:t>.</w:t>
      </w:r>
      <w:bookmarkEnd w:id="93"/>
    </w:p>
    <w:p w14:paraId="40BF71C1" w14:textId="11E87F2A" w:rsidR="006C4F1F" w:rsidRPr="00B0455C" w:rsidRDefault="006C4F1F" w:rsidP="00994B48">
      <w:pPr>
        <w:spacing w:before="120" w:after="120" w:line="360" w:lineRule="auto"/>
        <w:ind w:left="547"/>
        <w:jc w:val="both"/>
        <w:rPr>
          <w:rFonts w:asciiTheme="majorBidi" w:hAnsiTheme="majorBidi" w:cstheme="majorBidi"/>
          <w:sz w:val="24"/>
          <w:szCs w:val="24"/>
        </w:rPr>
      </w:pPr>
      <w:r w:rsidRPr="00B0455C">
        <w:rPr>
          <w:rFonts w:asciiTheme="majorBidi" w:hAnsiTheme="majorBidi" w:cstheme="majorBidi"/>
          <w:sz w:val="24"/>
          <w:szCs w:val="24"/>
        </w:rPr>
        <w:t>Contents include important new information; reason for initiating safety communication; any recommendations to healthcare professionals and patients; information on any proposed change to the product information (e.g. the summary of product characteristics (SmPC) or package leaflet (PL); additional information about the use of the therapeutic good; a list of literature references; and a reminder about reporting ADRs as per guidelines.</w:t>
      </w:r>
    </w:p>
    <w:p w14:paraId="2A3E7675" w14:textId="4E8C19B5" w:rsidR="006C4F1F" w:rsidRPr="00904FED" w:rsidRDefault="006C4F1F" w:rsidP="00994B48">
      <w:pPr>
        <w:spacing w:before="120" w:after="120" w:line="360" w:lineRule="auto"/>
        <w:ind w:left="547"/>
        <w:jc w:val="both"/>
        <w:rPr>
          <w:rFonts w:asciiTheme="majorBidi" w:hAnsiTheme="majorBidi" w:cstheme="majorBidi"/>
          <w:bCs/>
          <w:sz w:val="24"/>
          <w:szCs w:val="24"/>
        </w:rPr>
      </w:pPr>
      <w:r w:rsidRPr="00B0455C">
        <w:rPr>
          <w:rFonts w:asciiTheme="majorBidi" w:hAnsiTheme="majorBidi" w:cstheme="majorBidi"/>
          <w:color w:val="000000" w:themeColor="text1"/>
          <w:sz w:val="24"/>
          <w:szCs w:val="24"/>
        </w:rPr>
        <w:t>Good communication is the one that is issued timely; target</w:t>
      </w:r>
      <w:r w:rsidR="00994B48">
        <w:rPr>
          <w:rFonts w:asciiTheme="majorBidi" w:hAnsiTheme="majorBidi" w:cstheme="majorBidi"/>
          <w:color w:val="000000" w:themeColor="text1"/>
          <w:sz w:val="24"/>
          <w:szCs w:val="24"/>
        </w:rPr>
        <w:t>s</w:t>
      </w:r>
      <w:r w:rsidRPr="00B0455C">
        <w:rPr>
          <w:rFonts w:asciiTheme="majorBidi" w:hAnsiTheme="majorBidi" w:cstheme="majorBidi"/>
          <w:color w:val="000000" w:themeColor="text1"/>
          <w:sz w:val="24"/>
          <w:szCs w:val="24"/>
        </w:rPr>
        <w:t xml:space="preserve"> the right audience; use appropriate channels; provide</w:t>
      </w:r>
      <w:r w:rsidR="00994B48">
        <w:rPr>
          <w:rFonts w:asciiTheme="majorBidi" w:hAnsiTheme="majorBidi" w:cstheme="majorBidi"/>
          <w:color w:val="000000" w:themeColor="text1"/>
          <w:sz w:val="24"/>
          <w:szCs w:val="24"/>
        </w:rPr>
        <w:t>s</w:t>
      </w:r>
      <w:r w:rsidRPr="00B0455C">
        <w:rPr>
          <w:rFonts w:asciiTheme="majorBidi" w:hAnsiTheme="majorBidi" w:cstheme="majorBidi"/>
          <w:color w:val="000000" w:themeColor="text1"/>
          <w:sz w:val="24"/>
          <w:szCs w:val="24"/>
        </w:rPr>
        <w:t xml:space="preserve"> essential and useful information; use</w:t>
      </w:r>
      <w:r w:rsidR="00994B48">
        <w:rPr>
          <w:rFonts w:asciiTheme="majorBidi" w:hAnsiTheme="majorBidi" w:cstheme="majorBidi"/>
          <w:color w:val="000000" w:themeColor="text1"/>
          <w:sz w:val="24"/>
          <w:szCs w:val="24"/>
        </w:rPr>
        <w:t>s</w:t>
      </w:r>
      <w:r w:rsidRPr="00B0455C">
        <w:rPr>
          <w:rFonts w:asciiTheme="majorBidi" w:hAnsiTheme="majorBidi" w:cstheme="majorBidi"/>
          <w:color w:val="000000" w:themeColor="text1"/>
          <w:sz w:val="24"/>
          <w:szCs w:val="24"/>
        </w:rPr>
        <w:t xml:space="preserve"> appropriate language, and is truthful. Therefore, it </w:t>
      </w:r>
      <w:r w:rsidRPr="00B0455C">
        <w:rPr>
          <w:rFonts w:asciiTheme="majorBidi" w:hAnsiTheme="majorBidi" w:cstheme="majorBidi"/>
          <w:bCs/>
          <w:sz w:val="24"/>
          <w:szCs w:val="24"/>
        </w:rPr>
        <w:t>contributes to risk minimization</w:t>
      </w:r>
      <w:r w:rsidRPr="00B0455C">
        <w:rPr>
          <w:rFonts w:asciiTheme="majorBidi" w:hAnsiTheme="majorBidi" w:cstheme="majorBidi"/>
          <w:color w:val="000000" w:themeColor="text1"/>
          <w:sz w:val="24"/>
          <w:szCs w:val="24"/>
        </w:rPr>
        <w:t xml:space="preserve">; </w:t>
      </w:r>
      <w:r w:rsidRPr="00B0455C">
        <w:rPr>
          <w:rFonts w:asciiTheme="majorBidi" w:hAnsiTheme="majorBidi" w:cstheme="majorBidi"/>
          <w:bCs/>
          <w:sz w:val="24"/>
          <w:szCs w:val="24"/>
        </w:rPr>
        <w:t>help</w:t>
      </w:r>
      <w:r w:rsidR="00994B48">
        <w:rPr>
          <w:rFonts w:asciiTheme="majorBidi" w:hAnsiTheme="majorBidi" w:cstheme="majorBidi"/>
          <w:bCs/>
          <w:sz w:val="24"/>
          <w:szCs w:val="24"/>
        </w:rPr>
        <w:t>s</w:t>
      </w:r>
      <w:r w:rsidRPr="00B0455C">
        <w:rPr>
          <w:rFonts w:asciiTheme="majorBidi" w:hAnsiTheme="majorBidi" w:cstheme="majorBidi"/>
          <w:bCs/>
          <w:sz w:val="24"/>
          <w:szCs w:val="24"/>
        </w:rPr>
        <w:t xml:space="preserve"> HCPs to make wise decisions in their choice of therapeutics</w:t>
      </w:r>
      <w:r w:rsidRPr="00B0455C">
        <w:rPr>
          <w:rFonts w:asciiTheme="majorBidi" w:hAnsiTheme="majorBidi" w:cstheme="majorBidi"/>
          <w:color w:val="000000" w:themeColor="text1"/>
          <w:sz w:val="24"/>
          <w:szCs w:val="24"/>
        </w:rPr>
        <w:t>; f</w:t>
      </w:r>
      <w:r w:rsidRPr="00B0455C">
        <w:rPr>
          <w:rFonts w:asciiTheme="majorBidi" w:hAnsiTheme="majorBidi" w:cstheme="majorBidi"/>
          <w:bCs/>
          <w:sz w:val="24"/>
          <w:szCs w:val="24"/>
        </w:rPr>
        <w:t>oster trust in Regulatory Authorities, Provincial Centres and Registration holders.</w:t>
      </w:r>
    </w:p>
    <w:p w14:paraId="395339FA" w14:textId="34B091DB" w:rsidR="006C4F1F" w:rsidRPr="008E474C" w:rsidRDefault="008E474C" w:rsidP="008E474C">
      <w:pPr>
        <w:spacing w:before="120" w:after="120" w:line="360" w:lineRule="auto"/>
        <w:rPr>
          <w:b/>
          <w:bCs/>
          <w:sz w:val="28"/>
          <w:szCs w:val="28"/>
        </w:rPr>
      </w:pPr>
      <w:bookmarkStart w:id="94" w:name="_Toc97895935"/>
      <w:r>
        <w:rPr>
          <w:b/>
          <w:bCs/>
          <w:sz w:val="28"/>
          <w:szCs w:val="28"/>
        </w:rPr>
        <w:t xml:space="preserve">8.3 </w:t>
      </w:r>
      <w:proofErr w:type="spellStart"/>
      <w:r w:rsidR="006C4F1F" w:rsidRPr="008E474C">
        <w:rPr>
          <w:b/>
          <w:bCs/>
          <w:sz w:val="28"/>
          <w:szCs w:val="28"/>
          <w:u w:val="single"/>
        </w:rPr>
        <w:t>Re</w:t>
      </w:r>
      <w:r w:rsidR="00014A1D" w:rsidRPr="008E474C">
        <w:rPr>
          <w:b/>
          <w:bCs/>
          <w:sz w:val="28"/>
          <w:szCs w:val="28"/>
          <w:u w:val="single"/>
        </w:rPr>
        <w:t>sponisbilties</w:t>
      </w:r>
      <w:proofErr w:type="spellEnd"/>
      <w:r w:rsidR="00014A1D" w:rsidRPr="008E474C">
        <w:rPr>
          <w:b/>
          <w:bCs/>
          <w:sz w:val="28"/>
          <w:szCs w:val="28"/>
          <w:u w:val="single"/>
        </w:rPr>
        <w:t xml:space="preserve"> of NPC, DRAP</w:t>
      </w:r>
      <w:bookmarkEnd w:id="94"/>
      <w:r w:rsidR="00014A1D" w:rsidRPr="008E474C">
        <w:rPr>
          <w:b/>
          <w:bCs/>
          <w:sz w:val="28"/>
          <w:szCs w:val="28"/>
          <w:u w:val="single"/>
        </w:rPr>
        <w:t>.</w:t>
      </w:r>
    </w:p>
    <w:p w14:paraId="5E343D55" w14:textId="54F79E16" w:rsidR="00B91848" w:rsidRDefault="000B1733" w:rsidP="009C17EB">
      <w:pPr>
        <w:spacing w:before="120" w:after="120" w:line="360" w:lineRule="auto"/>
        <w:ind w:left="540"/>
        <w:jc w:val="both"/>
        <w:rPr>
          <w:rFonts w:eastAsiaTheme="minorHAnsi"/>
          <w:sz w:val="24"/>
          <w:szCs w:val="24"/>
          <w:lang w:val="en-US"/>
        </w:rPr>
      </w:pPr>
      <w:r w:rsidRPr="000B1733">
        <w:rPr>
          <w:sz w:val="24"/>
          <w:szCs w:val="24"/>
        </w:rPr>
        <w:t xml:space="preserve">As per clause (xi), sub-rule (1) of Rule 4 of </w:t>
      </w:r>
      <w:hyperlink r:id="rId76" w:history="1">
        <w:r w:rsidRPr="002767B1">
          <w:rPr>
            <w:rStyle w:val="Hyperlink"/>
            <w:sz w:val="24"/>
            <w:szCs w:val="24"/>
          </w:rPr>
          <w:t>Pharmacovigilance Rules, 2022</w:t>
        </w:r>
      </w:hyperlink>
      <w:r w:rsidRPr="000B1733">
        <w:rPr>
          <w:sz w:val="24"/>
          <w:szCs w:val="24"/>
        </w:rPr>
        <w:t>, the function of NPC is to</w:t>
      </w:r>
      <w:r>
        <w:rPr>
          <w:sz w:val="24"/>
          <w:szCs w:val="24"/>
        </w:rPr>
        <w:t xml:space="preserve"> </w:t>
      </w:r>
      <w:r w:rsidRPr="000B1733">
        <w:rPr>
          <w:rFonts w:eastAsiaTheme="minorHAnsi"/>
          <w:sz w:val="24"/>
          <w:szCs w:val="24"/>
          <w:lang w:val="en-US"/>
        </w:rPr>
        <w:t>ensure that the public is given important information on pharmacovigilance</w:t>
      </w:r>
      <w:r>
        <w:rPr>
          <w:sz w:val="24"/>
          <w:szCs w:val="24"/>
        </w:rPr>
        <w:t xml:space="preserve"> </w:t>
      </w:r>
      <w:r w:rsidRPr="000B1733">
        <w:rPr>
          <w:rFonts w:eastAsiaTheme="minorHAnsi"/>
          <w:sz w:val="24"/>
          <w:szCs w:val="24"/>
          <w:lang w:val="en-US"/>
        </w:rPr>
        <w:t>conce</w:t>
      </w:r>
      <w:r w:rsidR="00CF5041">
        <w:rPr>
          <w:rFonts w:eastAsiaTheme="minorHAnsi"/>
          <w:sz w:val="24"/>
          <w:szCs w:val="24"/>
          <w:lang w:val="en-US"/>
        </w:rPr>
        <w:t>rn</w:t>
      </w:r>
      <w:r w:rsidRPr="000B1733">
        <w:rPr>
          <w:rFonts w:eastAsiaTheme="minorHAnsi"/>
          <w:sz w:val="24"/>
          <w:szCs w:val="24"/>
          <w:lang w:val="en-US"/>
        </w:rPr>
        <w:t>s and risks relating to the use of therapeutic goods in a timely manner</w:t>
      </w:r>
      <w:r>
        <w:rPr>
          <w:sz w:val="24"/>
          <w:szCs w:val="24"/>
        </w:rPr>
        <w:t xml:space="preserve"> </w:t>
      </w:r>
      <w:r w:rsidRPr="000B1733">
        <w:rPr>
          <w:rFonts w:eastAsiaTheme="minorHAnsi"/>
          <w:sz w:val="24"/>
          <w:szCs w:val="24"/>
          <w:lang w:val="en-US"/>
        </w:rPr>
        <w:t xml:space="preserve">through one of </w:t>
      </w:r>
      <w:r w:rsidRPr="000B1733">
        <w:rPr>
          <w:rFonts w:eastAsiaTheme="minorHAnsi"/>
          <w:sz w:val="24"/>
          <w:szCs w:val="24"/>
          <w:lang w:val="en-US"/>
        </w:rPr>
        <w:lastRenderedPageBreak/>
        <w:t>the following modes i.e. therapeutic goods safety alerts,</w:t>
      </w:r>
      <w:r>
        <w:rPr>
          <w:sz w:val="24"/>
          <w:szCs w:val="24"/>
        </w:rPr>
        <w:t xml:space="preserve"> </w:t>
      </w:r>
      <w:r w:rsidRPr="000B1733">
        <w:rPr>
          <w:rFonts w:eastAsiaTheme="minorHAnsi"/>
          <w:sz w:val="24"/>
          <w:szCs w:val="24"/>
          <w:lang w:val="en-US"/>
        </w:rPr>
        <w:t>healthcare advisory or newsletters on a website and through other means of</w:t>
      </w:r>
      <w:r>
        <w:rPr>
          <w:sz w:val="24"/>
          <w:szCs w:val="24"/>
        </w:rPr>
        <w:t xml:space="preserve"> </w:t>
      </w:r>
      <w:r w:rsidRPr="000B1733">
        <w:rPr>
          <w:rFonts w:eastAsiaTheme="minorHAnsi"/>
          <w:sz w:val="24"/>
          <w:szCs w:val="24"/>
          <w:lang w:val="en-US"/>
        </w:rPr>
        <w:t>publicly available information as necessary</w:t>
      </w:r>
      <w:r>
        <w:rPr>
          <w:rFonts w:eastAsiaTheme="minorHAnsi"/>
          <w:sz w:val="24"/>
          <w:szCs w:val="24"/>
          <w:lang w:val="en-US"/>
        </w:rPr>
        <w:t xml:space="preserve">. </w:t>
      </w:r>
    </w:p>
    <w:p w14:paraId="27FB5A79" w14:textId="46A0C001" w:rsidR="00B91848" w:rsidRPr="00260DE3" w:rsidRDefault="000B1733" w:rsidP="009C17EB">
      <w:pPr>
        <w:spacing w:before="120" w:after="120" w:line="360" w:lineRule="auto"/>
        <w:ind w:left="540"/>
        <w:jc w:val="both"/>
        <w:rPr>
          <w:rFonts w:eastAsiaTheme="minorHAnsi"/>
          <w:sz w:val="24"/>
          <w:szCs w:val="24"/>
          <w:lang w:val="en-US"/>
        </w:rPr>
      </w:pPr>
      <w:r>
        <w:rPr>
          <w:rFonts w:eastAsiaTheme="minorHAnsi"/>
          <w:sz w:val="24"/>
          <w:szCs w:val="24"/>
          <w:lang w:val="en-US"/>
        </w:rPr>
        <w:t>Lik</w:t>
      </w:r>
      <w:r w:rsidR="00CF5041">
        <w:rPr>
          <w:rFonts w:eastAsiaTheme="minorHAnsi"/>
          <w:sz w:val="24"/>
          <w:szCs w:val="24"/>
          <w:lang w:val="en-US"/>
        </w:rPr>
        <w:t>e</w:t>
      </w:r>
      <w:r>
        <w:rPr>
          <w:rFonts w:eastAsiaTheme="minorHAnsi"/>
          <w:sz w:val="24"/>
          <w:szCs w:val="24"/>
          <w:lang w:val="en-US"/>
        </w:rPr>
        <w:t>wise,</w:t>
      </w:r>
      <w:r w:rsidR="00B91848">
        <w:rPr>
          <w:rFonts w:eastAsiaTheme="minorHAnsi"/>
          <w:sz w:val="24"/>
          <w:szCs w:val="24"/>
          <w:lang w:val="en-US"/>
        </w:rPr>
        <w:t xml:space="preserve"> as per the</w:t>
      </w:r>
      <w:r>
        <w:rPr>
          <w:rFonts w:eastAsiaTheme="minorHAnsi"/>
          <w:sz w:val="24"/>
          <w:szCs w:val="24"/>
          <w:lang w:val="en-US"/>
        </w:rPr>
        <w:t xml:space="preserve"> relev</w:t>
      </w:r>
      <w:r w:rsidR="00CF5041">
        <w:rPr>
          <w:rFonts w:eastAsiaTheme="minorHAnsi"/>
          <w:sz w:val="24"/>
          <w:szCs w:val="24"/>
          <w:lang w:val="en-US"/>
        </w:rPr>
        <w:t>a</w:t>
      </w:r>
      <w:r>
        <w:rPr>
          <w:rFonts w:eastAsiaTheme="minorHAnsi"/>
          <w:sz w:val="24"/>
          <w:szCs w:val="24"/>
          <w:lang w:val="en-US"/>
        </w:rPr>
        <w:t>nt cl</w:t>
      </w:r>
      <w:r w:rsidR="00CF5041">
        <w:rPr>
          <w:rFonts w:eastAsiaTheme="minorHAnsi"/>
          <w:sz w:val="24"/>
          <w:szCs w:val="24"/>
          <w:lang w:val="en-US"/>
        </w:rPr>
        <w:t>au</w:t>
      </w:r>
      <w:r>
        <w:rPr>
          <w:rFonts w:eastAsiaTheme="minorHAnsi"/>
          <w:sz w:val="24"/>
          <w:szCs w:val="24"/>
          <w:lang w:val="en-US"/>
        </w:rPr>
        <w:t xml:space="preserve">ses </w:t>
      </w:r>
      <w:r w:rsidR="00B91848">
        <w:rPr>
          <w:rFonts w:eastAsiaTheme="minorHAnsi"/>
          <w:sz w:val="24"/>
          <w:szCs w:val="24"/>
          <w:lang w:val="en-US"/>
        </w:rPr>
        <w:t xml:space="preserve">of </w:t>
      </w:r>
      <w:r>
        <w:rPr>
          <w:rFonts w:eastAsiaTheme="minorHAnsi"/>
          <w:sz w:val="24"/>
          <w:szCs w:val="24"/>
          <w:lang w:val="en-US"/>
        </w:rPr>
        <w:t xml:space="preserve">sub-rule 3 of Rule 6 of the </w:t>
      </w:r>
      <w:hyperlink r:id="rId77" w:history="1">
        <w:r w:rsidR="00B91848" w:rsidRPr="000633B9">
          <w:rPr>
            <w:rStyle w:val="Hyperlink"/>
            <w:rFonts w:eastAsiaTheme="minorHAnsi"/>
            <w:sz w:val="24"/>
            <w:szCs w:val="24"/>
            <w:lang w:val="en-US"/>
          </w:rPr>
          <w:t xml:space="preserve">Pharmacovigilance </w:t>
        </w:r>
        <w:r w:rsidRPr="000633B9">
          <w:rPr>
            <w:rStyle w:val="Hyperlink"/>
            <w:rFonts w:eastAsiaTheme="minorHAnsi"/>
            <w:sz w:val="24"/>
            <w:szCs w:val="24"/>
            <w:lang w:val="en-US"/>
          </w:rPr>
          <w:t>Rules, 2022</w:t>
        </w:r>
      </w:hyperlink>
      <w:r>
        <w:rPr>
          <w:rFonts w:eastAsiaTheme="minorHAnsi"/>
          <w:sz w:val="24"/>
          <w:szCs w:val="24"/>
          <w:lang w:val="en-US"/>
        </w:rPr>
        <w:t>, the respons</w:t>
      </w:r>
      <w:r w:rsidR="00CF5041">
        <w:rPr>
          <w:rFonts w:eastAsiaTheme="minorHAnsi"/>
          <w:sz w:val="24"/>
          <w:szCs w:val="24"/>
          <w:lang w:val="en-US"/>
        </w:rPr>
        <w:t>i</w:t>
      </w:r>
      <w:r>
        <w:rPr>
          <w:rFonts w:eastAsiaTheme="minorHAnsi"/>
          <w:sz w:val="24"/>
          <w:szCs w:val="24"/>
          <w:lang w:val="en-US"/>
        </w:rPr>
        <w:t>bilities of pharmacovigilance officers at NPC include processing of therapeutic goods safety alert</w:t>
      </w:r>
      <w:r w:rsidR="00B91848">
        <w:rPr>
          <w:rFonts w:eastAsiaTheme="minorHAnsi"/>
          <w:sz w:val="24"/>
          <w:szCs w:val="24"/>
          <w:lang w:val="en-US"/>
        </w:rPr>
        <w:t xml:space="preserve">s, </w:t>
      </w:r>
      <w:r>
        <w:rPr>
          <w:rFonts w:eastAsiaTheme="minorHAnsi"/>
          <w:sz w:val="24"/>
          <w:szCs w:val="24"/>
          <w:lang w:val="en-US"/>
        </w:rPr>
        <w:t>co</w:t>
      </w:r>
      <w:r w:rsidR="00CF5041">
        <w:rPr>
          <w:rFonts w:eastAsiaTheme="minorHAnsi"/>
          <w:sz w:val="24"/>
          <w:szCs w:val="24"/>
          <w:lang w:val="en-US"/>
        </w:rPr>
        <w:t>m</w:t>
      </w:r>
      <w:r>
        <w:rPr>
          <w:rFonts w:eastAsiaTheme="minorHAnsi"/>
          <w:sz w:val="24"/>
          <w:szCs w:val="24"/>
          <w:lang w:val="en-US"/>
        </w:rPr>
        <w:t>munication and coordin</w:t>
      </w:r>
      <w:r w:rsidR="00CF5041">
        <w:rPr>
          <w:rFonts w:eastAsiaTheme="minorHAnsi"/>
          <w:sz w:val="24"/>
          <w:szCs w:val="24"/>
          <w:lang w:val="en-US"/>
        </w:rPr>
        <w:t>a</w:t>
      </w:r>
      <w:r>
        <w:rPr>
          <w:rFonts w:eastAsiaTheme="minorHAnsi"/>
          <w:sz w:val="24"/>
          <w:szCs w:val="24"/>
          <w:lang w:val="en-US"/>
        </w:rPr>
        <w:t>tion with pharmacovigilance stakeholder</w:t>
      </w:r>
      <w:r w:rsidR="00B91848">
        <w:rPr>
          <w:rFonts w:eastAsiaTheme="minorHAnsi"/>
          <w:sz w:val="24"/>
          <w:szCs w:val="24"/>
          <w:lang w:val="en-US"/>
        </w:rPr>
        <w:t>s</w:t>
      </w:r>
      <w:r>
        <w:rPr>
          <w:rFonts w:eastAsiaTheme="minorHAnsi"/>
          <w:sz w:val="24"/>
          <w:szCs w:val="24"/>
          <w:lang w:val="en-US"/>
        </w:rPr>
        <w:t xml:space="preserve"> and communication</w:t>
      </w:r>
      <w:r w:rsidR="00B91848">
        <w:rPr>
          <w:rFonts w:eastAsiaTheme="minorHAnsi"/>
          <w:sz w:val="24"/>
          <w:szCs w:val="24"/>
          <w:lang w:val="en-US"/>
        </w:rPr>
        <w:t xml:space="preserve"> </w:t>
      </w:r>
      <w:r>
        <w:rPr>
          <w:rFonts w:eastAsiaTheme="minorHAnsi"/>
          <w:sz w:val="24"/>
          <w:szCs w:val="24"/>
          <w:lang w:val="en-US"/>
        </w:rPr>
        <w:t xml:space="preserve">of risk minimization measures. </w:t>
      </w:r>
    </w:p>
    <w:p w14:paraId="7FA529F7" w14:textId="3FB6764D" w:rsidR="00260DE3" w:rsidRPr="00260DE3" w:rsidRDefault="00F849AD" w:rsidP="009C17EB">
      <w:pPr>
        <w:spacing w:before="120" w:after="120" w:line="360" w:lineRule="auto"/>
        <w:ind w:left="540"/>
        <w:jc w:val="both"/>
        <w:rPr>
          <w:rFonts w:eastAsiaTheme="minorHAnsi"/>
          <w:sz w:val="24"/>
          <w:szCs w:val="24"/>
          <w:lang w:val="en-US"/>
        </w:rPr>
      </w:pPr>
      <w:r w:rsidRPr="00B91848">
        <w:rPr>
          <w:sz w:val="24"/>
          <w:szCs w:val="24"/>
        </w:rPr>
        <w:t>Cl</w:t>
      </w:r>
      <w:r w:rsidR="00F872F3">
        <w:rPr>
          <w:sz w:val="24"/>
          <w:szCs w:val="24"/>
        </w:rPr>
        <w:t>au</w:t>
      </w:r>
      <w:r w:rsidRPr="00B91848">
        <w:rPr>
          <w:sz w:val="24"/>
          <w:szCs w:val="24"/>
        </w:rPr>
        <w:t xml:space="preserve">se </w:t>
      </w:r>
      <w:r w:rsidR="00B91848" w:rsidRPr="00B91848">
        <w:rPr>
          <w:sz w:val="24"/>
          <w:szCs w:val="24"/>
        </w:rPr>
        <w:t xml:space="preserve">(b), sub-rule (1) of Rule 10 of </w:t>
      </w:r>
      <w:hyperlink r:id="rId78" w:history="1">
        <w:r w:rsidR="00B91848" w:rsidRPr="00934BEB">
          <w:rPr>
            <w:rStyle w:val="Hyperlink"/>
            <w:sz w:val="24"/>
            <w:szCs w:val="24"/>
          </w:rPr>
          <w:t>Pharmacovigilance Rules, 2022</w:t>
        </w:r>
      </w:hyperlink>
      <w:r>
        <w:rPr>
          <w:sz w:val="24"/>
          <w:szCs w:val="24"/>
        </w:rPr>
        <w:t xml:space="preserve"> states that</w:t>
      </w:r>
      <w:r w:rsidR="00B91848" w:rsidRPr="00B91848">
        <w:rPr>
          <w:sz w:val="24"/>
          <w:szCs w:val="24"/>
        </w:rPr>
        <w:t xml:space="preserve"> </w:t>
      </w:r>
      <w:r w:rsidR="00B91848" w:rsidRPr="00B91848">
        <w:rPr>
          <w:rFonts w:eastAsiaTheme="minorHAnsi"/>
          <w:sz w:val="24"/>
          <w:szCs w:val="24"/>
          <w:lang w:val="en-US"/>
        </w:rPr>
        <w:t>on the basis of conce</w:t>
      </w:r>
      <w:r w:rsidR="00CF5041">
        <w:rPr>
          <w:rFonts w:eastAsiaTheme="minorHAnsi"/>
          <w:sz w:val="24"/>
          <w:szCs w:val="24"/>
          <w:lang w:val="en-US"/>
        </w:rPr>
        <w:t>rn</w:t>
      </w:r>
      <w:r w:rsidR="00B91848" w:rsidRPr="00B91848">
        <w:rPr>
          <w:rFonts w:eastAsiaTheme="minorHAnsi"/>
          <w:sz w:val="24"/>
          <w:szCs w:val="24"/>
          <w:lang w:val="en-US"/>
        </w:rPr>
        <w:t>s resulting from the evaluation of data f</w:t>
      </w:r>
      <w:r w:rsidR="00CF5041">
        <w:rPr>
          <w:rFonts w:eastAsiaTheme="minorHAnsi"/>
          <w:sz w:val="24"/>
          <w:szCs w:val="24"/>
          <w:lang w:val="en-US"/>
        </w:rPr>
        <w:t>r</w:t>
      </w:r>
      <w:r w:rsidR="00B91848" w:rsidRPr="00B91848">
        <w:rPr>
          <w:rFonts w:eastAsiaTheme="minorHAnsi"/>
          <w:sz w:val="24"/>
          <w:szCs w:val="24"/>
          <w:lang w:val="en-US"/>
        </w:rPr>
        <w:t>om</w:t>
      </w:r>
      <w:r w:rsidR="00B91848" w:rsidRPr="00B91848">
        <w:rPr>
          <w:sz w:val="24"/>
          <w:szCs w:val="24"/>
        </w:rPr>
        <w:t xml:space="preserve"> </w:t>
      </w:r>
      <w:r w:rsidR="00B91848" w:rsidRPr="00B91848">
        <w:rPr>
          <w:rFonts w:eastAsiaTheme="minorHAnsi"/>
          <w:sz w:val="24"/>
          <w:szCs w:val="24"/>
          <w:lang w:val="en-US"/>
        </w:rPr>
        <w:t xml:space="preserve">pharmacovigilance activities, </w:t>
      </w:r>
      <w:r w:rsidR="00260DE3">
        <w:rPr>
          <w:rFonts w:eastAsiaTheme="minorHAnsi"/>
          <w:sz w:val="24"/>
          <w:szCs w:val="24"/>
          <w:lang w:val="en-US"/>
        </w:rPr>
        <w:t xml:space="preserve">PRAEC may </w:t>
      </w:r>
      <w:r w:rsidR="00B91848" w:rsidRPr="00B91848">
        <w:rPr>
          <w:rFonts w:eastAsiaTheme="minorHAnsi"/>
          <w:sz w:val="24"/>
          <w:szCs w:val="24"/>
          <w:lang w:val="en-US"/>
        </w:rPr>
        <w:t>recommend to NPC to inform</w:t>
      </w:r>
      <w:r w:rsidR="00B91848" w:rsidRPr="00B91848">
        <w:rPr>
          <w:sz w:val="24"/>
          <w:szCs w:val="24"/>
        </w:rPr>
        <w:t xml:space="preserve"> </w:t>
      </w:r>
      <w:r w:rsidR="00B91848" w:rsidRPr="00B91848">
        <w:rPr>
          <w:rFonts w:eastAsiaTheme="minorHAnsi"/>
          <w:sz w:val="24"/>
          <w:szCs w:val="24"/>
          <w:lang w:val="en-US"/>
        </w:rPr>
        <w:t>pharmacovigilance stakeholders through available means, where it considers</w:t>
      </w:r>
      <w:r w:rsidR="00B91848" w:rsidRPr="00B91848">
        <w:rPr>
          <w:sz w:val="24"/>
          <w:szCs w:val="24"/>
        </w:rPr>
        <w:t xml:space="preserve"> </w:t>
      </w:r>
      <w:r w:rsidR="00B91848" w:rsidRPr="00B91848">
        <w:rPr>
          <w:rFonts w:eastAsiaTheme="minorHAnsi"/>
          <w:sz w:val="24"/>
          <w:szCs w:val="24"/>
          <w:lang w:val="en-US"/>
        </w:rPr>
        <w:t>necessary that a new contraindication, a reduction in the recommended dose or</w:t>
      </w:r>
      <w:r w:rsidR="00B91848" w:rsidRPr="00B91848">
        <w:rPr>
          <w:sz w:val="24"/>
          <w:szCs w:val="24"/>
        </w:rPr>
        <w:t xml:space="preserve"> </w:t>
      </w:r>
      <w:r w:rsidR="00B91848" w:rsidRPr="00B91848">
        <w:rPr>
          <w:rFonts w:eastAsiaTheme="minorHAnsi"/>
          <w:sz w:val="24"/>
          <w:szCs w:val="24"/>
          <w:lang w:val="en-US"/>
        </w:rPr>
        <w:t>a restriction to the indication of</w:t>
      </w:r>
      <w:r w:rsidR="00CF5041">
        <w:rPr>
          <w:rFonts w:eastAsiaTheme="minorHAnsi"/>
          <w:sz w:val="24"/>
          <w:szCs w:val="24"/>
          <w:lang w:val="en-US"/>
        </w:rPr>
        <w:t xml:space="preserve"> </w:t>
      </w:r>
      <w:r w:rsidR="00B91848" w:rsidRPr="00B91848">
        <w:rPr>
          <w:rFonts w:eastAsiaTheme="minorHAnsi"/>
          <w:sz w:val="24"/>
          <w:szCs w:val="24"/>
          <w:lang w:val="en-US"/>
        </w:rPr>
        <w:t>therapeutic goods etc. is necessary</w:t>
      </w:r>
      <w:r>
        <w:rPr>
          <w:rFonts w:eastAsiaTheme="minorHAnsi"/>
          <w:sz w:val="24"/>
          <w:szCs w:val="24"/>
          <w:lang w:val="en-US"/>
        </w:rPr>
        <w:t>.</w:t>
      </w:r>
    </w:p>
    <w:p w14:paraId="24B7CD7E" w14:textId="710908F8" w:rsidR="00260DE3" w:rsidRPr="00260DE3" w:rsidRDefault="00260DE3" w:rsidP="009C17EB">
      <w:pPr>
        <w:spacing w:before="120" w:after="120" w:line="360" w:lineRule="auto"/>
        <w:ind w:left="540"/>
        <w:jc w:val="both"/>
        <w:rPr>
          <w:color w:val="000000" w:themeColor="text1"/>
          <w:sz w:val="24"/>
          <w:szCs w:val="24"/>
        </w:rPr>
      </w:pPr>
      <w:r w:rsidRPr="00260DE3">
        <w:rPr>
          <w:color w:val="000000" w:themeColor="text1"/>
          <w:sz w:val="24"/>
          <w:szCs w:val="24"/>
        </w:rPr>
        <w:t>Communication with WHO-UMC and WHO headquarters will be managed by NPC-DRAP. The NPC-DRAP is responsible to publish/</w:t>
      </w:r>
      <w:r w:rsidR="00994B48">
        <w:rPr>
          <w:color w:val="000000" w:themeColor="text1"/>
          <w:sz w:val="24"/>
          <w:szCs w:val="24"/>
        </w:rPr>
        <w:t xml:space="preserve"> </w:t>
      </w:r>
      <w:r w:rsidRPr="00260DE3">
        <w:rPr>
          <w:color w:val="000000" w:themeColor="text1"/>
          <w:sz w:val="24"/>
          <w:szCs w:val="24"/>
        </w:rPr>
        <w:t>communicate any finding</w:t>
      </w:r>
      <w:r w:rsidR="00994B48">
        <w:rPr>
          <w:color w:val="000000" w:themeColor="text1"/>
          <w:sz w:val="24"/>
          <w:szCs w:val="24"/>
        </w:rPr>
        <w:t>s</w:t>
      </w:r>
      <w:r w:rsidRPr="00260DE3">
        <w:rPr>
          <w:color w:val="000000" w:themeColor="text1"/>
          <w:sz w:val="24"/>
          <w:szCs w:val="24"/>
        </w:rPr>
        <w:t xml:space="preserve"> from </w:t>
      </w:r>
      <w:r w:rsidR="00994B48">
        <w:rPr>
          <w:color w:val="000000" w:themeColor="text1"/>
          <w:sz w:val="24"/>
          <w:szCs w:val="24"/>
        </w:rPr>
        <w:t xml:space="preserve">the </w:t>
      </w:r>
      <w:r w:rsidRPr="00260DE3">
        <w:rPr>
          <w:color w:val="000000" w:themeColor="text1"/>
          <w:sz w:val="24"/>
          <w:szCs w:val="24"/>
        </w:rPr>
        <w:t xml:space="preserve">National database to </w:t>
      </w:r>
      <w:r w:rsidR="00994B48">
        <w:rPr>
          <w:color w:val="000000" w:themeColor="text1"/>
          <w:sz w:val="24"/>
          <w:szCs w:val="24"/>
        </w:rPr>
        <w:t xml:space="preserve">the </w:t>
      </w:r>
      <w:r w:rsidRPr="00260DE3">
        <w:rPr>
          <w:color w:val="000000" w:themeColor="text1"/>
          <w:sz w:val="24"/>
          <w:szCs w:val="24"/>
        </w:rPr>
        <w:t>media; whereas, other stakeholder</w:t>
      </w:r>
      <w:r w:rsidR="00994B48">
        <w:rPr>
          <w:color w:val="000000" w:themeColor="text1"/>
          <w:sz w:val="24"/>
          <w:szCs w:val="24"/>
        </w:rPr>
        <w:t>s</w:t>
      </w:r>
      <w:r w:rsidRPr="00260DE3">
        <w:rPr>
          <w:color w:val="000000" w:themeColor="text1"/>
          <w:sz w:val="24"/>
          <w:szCs w:val="24"/>
        </w:rPr>
        <w:t xml:space="preserve"> are required to get prior approval from NPC-DRAP to publish or communicate any data of information originating from </w:t>
      </w:r>
      <w:r w:rsidR="00994B48">
        <w:rPr>
          <w:color w:val="000000" w:themeColor="text1"/>
          <w:sz w:val="24"/>
          <w:szCs w:val="24"/>
        </w:rPr>
        <w:t xml:space="preserve">the </w:t>
      </w:r>
      <w:r w:rsidRPr="00260DE3">
        <w:rPr>
          <w:color w:val="000000" w:themeColor="text1"/>
          <w:sz w:val="24"/>
          <w:szCs w:val="24"/>
        </w:rPr>
        <w:t>Pharmacovigilance programme of Pakistan.</w:t>
      </w:r>
    </w:p>
    <w:p w14:paraId="6AF9E142" w14:textId="52B971D2" w:rsidR="006C4F1F" w:rsidRPr="006D23C2" w:rsidRDefault="006D23C2" w:rsidP="006D23C2">
      <w:pPr>
        <w:spacing w:before="120" w:after="120" w:line="360" w:lineRule="auto"/>
        <w:rPr>
          <w:b/>
          <w:bCs/>
          <w:sz w:val="28"/>
          <w:szCs w:val="28"/>
        </w:rPr>
      </w:pPr>
      <w:bookmarkStart w:id="95" w:name="_Toc97895936"/>
      <w:r>
        <w:rPr>
          <w:b/>
          <w:bCs/>
          <w:sz w:val="28"/>
          <w:szCs w:val="28"/>
        </w:rPr>
        <w:t xml:space="preserve">8.4 </w:t>
      </w:r>
      <w:r w:rsidR="006C4F1F" w:rsidRPr="006D23C2">
        <w:rPr>
          <w:b/>
          <w:bCs/>
          <w:sz w:val="28"/>
          <w:szCs w:val="28"/>
          <w:u w:val="single"/>
        </w:rPr>
        <w:t xml:space="preserve">Target </w:t>
      </w:r>
      <w:r w:rsidR="007F5280" w:rsidRPr="006D23C2">
        <w:rPr>
          <w:b/>
          <w:bCs/>
          <w:sz w:val="28"/>
          <w:szCs w:val="28"/>
          <w:u w:val="single"/>
        </w:rPr>
        <w:t>audiences</w:t>
      </w:r>
      <w:bookmarkEnd w:id="95"/>
    </w:p>
    <w:p w14:paraId="0F439C16" w14:textId="1D35DAA6" w:rsidR="006C4F1F" w:rsidRPr="00B0455C" w:rsidRDefault="006C4F1F" w:rsidP="006B7E4D">
      <w:pPr>
        <w:tabs>
          <w:tab w:val="left" w:pos="540"/>
        </w:tabs>
        <w:spacing w:before="120" w:after="120" w:line="360" w:lineRule="auto"/>
        <w:ind w:left="547"/>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The primary target audiences for safety communication issued by NPC should be patients and healthcare professionals who use (i.e. prescribe, handle, dispense, administer or take) therapeutic goods. </w:t>
      </w:r>
    </w:p>
    <w:p w14:paraId="2FC7BC41" w14:textId="77777777" w:rsidR="006C4F1F" w:rsidRPr="00B0455C" w:rsidRDefault="006C4F1F" w:rsidP="006B7E4D">
      <w:pPr>
        <w:tabs>
          <w:tab w:val="left" w:pos="540"/>
        </w:tabs>
        <w:spacing w:before="120" w:after="120" w:line="360" w:lineRule="auto"/>
        <w:ind w:left="547"/>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As primary target audiences, </w:t>
      </w:r>
      <w:r w:rsidRPr="00B0455C">
        <w:rPr>
          <w:rFonts w:asciiTheme="majorBidi" w:hAnsiTheme="majorBidi" w:cstheme="majorBidi"/>
          <w:b/>
          <w:bCs/>
          <w:color w:val="000000" w:themeColor="text1"/>
          <w:sz w:val="24"/>
          <w:szCs w:val="24"/>
        </w:rPr>
        <w:t>healthcare professionals</w:t>
      </w:r>
      <w:r w:rsidRPr="00B0455C">
        <w:rPr>
          <w:rFonts w:asciiTheme="majorBidi" w:hAnsiTheme="majorBidi" w:cstheme="majorBidi"/>
          <w:color w:val="000000" w:themeColor="text1"/>
          <w:sz w:val="24"/>
          <w:szCs w:val="24"/>
        </w:rPr>
        <w:t xml:space="preserve"> play an essential role in ensuring that therapeutic goods are used as effectively and safely as possible. Effective safety communication enables them to take adequate actions to minimise risks and to give clear and useful information to their patients. This ultimately promotes patient safety and confidence in the regulatory system. Both healthcare professionals in clinical practice and those involved in clinical trials should be provided with appropriate information on any safety concerns at the same time. </w:t>
      </w:r>
    </w:p>
    <w:p w14:paraId="1C8DCF4D" w14:textId="77777777" w:rsidR="006C4F1F" w:rsidRPr="00B0455C" w:rsidRDefault="006C4F1F" w:rsidP="006B7E4D">
      <w:pPr>
        <w:tabs>
          <w:tab w:val="left" w:pos="540"/>
        </w:tabs>
        <w:spacing w:before="120" w:after="120" w:line="360" w:lineRule="auto"/>
        <w:ind w:left="547"/>
        <w:jc w:val="both"/>
        <w:rPr>
          <w:rFonts w:asciiTheme="majorBidi" w:hAnsiTheme="majorBidi" w:cstheme="majorBidi"/>
          <w:color w:val="000000" w:themeColor="text1"/>
          <w:sz w:val="24"/>
          <w:szCs w:val="24"/>
        </w:rPr>
      </w:pPr>
      <w:r w:rsidRPr="00B0455C">
        <w:rPr>
          <w:rFonts w:asciiTheme="majorBidi" w:hAnsiTheme="majorBidi" w:cstheme="majorBidi"/>
          <w:b/>
          <w:bCs/>
          <w:color w:val="000000" w:themeColor="text1"/>
          <w:sz w:val="24"/>
          <w:szCs w:val="24"/>
        </w:rPr>
        <w:t>Patients, consumers and healthcare professional organisations</w:t>
      </w:r>
      <w:r w:rsidRPr="00B0455C">
        <w:rPr>
          <w:rFonts w:asciiTheme="majorBidi" w:hAnsiTheme="majorBidi" w:cstheme="majorBidi"/>
          <w:color w:val="000000" w:themeColor="text1"/>
          <w:sz w:val="24"/>
          <w:szCs w:val="24"/>
        </w:rPr>
        <w:t xml:space="preserve"> can play a role as multipliers as they can disseminate important safety information to target audiences.</w:t>
      </w:r>
    </w:p>
    <w:p w14:paraId="07566D9B" w14:textId="77777777" w:rsidR="006C4F1F" w:rsidRPr="00B0455C" w:rsidRDefault="006C4F1F" w:rsidP="006B7E4D">
      <w:pPr>
        <w:tabs>
          <w:tab w:val="left" w:pos="540"/>
        </w:tabs>
        <w:spacing w:before="120" w:after="120" w:line="360" w:lineRule="auto"/>
        <w:ind w:left="547"/>
        <w:jc w:val="both"/>
        <w:rPr>
          <w:rFonts w:asciiTheme="majorBidi" w:hAnsiTheme="majorBidi" w:cstheme="majorBidi"/>
          <w:color w:val="000000" w:themeColor="text1"/>
          <w:sz w:val="24"/>
          <w:szCs w:val="24"/>
        </w:rPr>
      </w:pPr>
      <w:r w:rsidRPr="00B0455C">
        <w:rPr>
          <w:rFonts w:asciiTheme="majorBidi" w:hAnsiTheme="majorBidi" w:cstheme="majorBidi"/>
          <w:b/>
          <w:bCs/>
          <w:color w:val="000000" w:themeColor="text1"/>
          <w:sz w:val="24"/>
          <w:szCs w:val="24"/>
        </w:rPr>
        <w:t>The media</w:t>
      </w:r>
      <w:r w:rsidRPr="00B0455C">
        <w:rPr>
          <w:rFonts w:asciiTheme="majorBidi" w:hAnsiTheme="majorBidi" w:cstheme="majorBidi"/>
          <w:color w:val="000000" w:themeColor="text1"/>
          <w:sz w:val="24"/>
          <w:szCs w:val="24"/>
        </w:rPr>
        <w:t xml:space="preserve"> is also a target audience for safety communication. The capacity of the media to </w:t>
      </w:r>
      <w:r w:rsidRPr="00B0455C">
        <w:rPr>
          <w:rFonts w:asciiTheme="majorBidi" w:hAnsiTheme="majorBidi" w:cstheme="majorBidi"/>
          <w:color w:val="000000" w:themeColor="text1"/>
          <w:sz w:val="24"/>
          <w:szCs w:val="24"/>
        </w:rPr>
        <w:lastRenderedPageBreak/>
        <w:t>reach out to patients, healthcare professionals and the general public is a critical element for amplifying new and important information on therapeutic goods. The way safety information is communicated through the media will influence the public perception and it is therefore important that the media receives safety information directly from the DRAP in addition to the information they receive from other sources.</w:t>
      </w:r>
    </w:p>
    <w:p w14:paraId="19B7825E" w14:textId="57247DF5" w:rsidR="006C4F1F" w:rsidRPr="001F0E37" w:rsidRDefault="001F0E37" w:rsidP="001F0E37">
      <w:pPr>
        <w:spacing w:before="120" w:after="120" w:line="360" w:lineRule="auto"/>
        <w:rPr>
          <w:b/>
          <w:bCs/>
          <w:sz w:val="28"/>
          <w:szCs w:val="28"/>
          <w:u w:val="single"/>
        </w:rPr>
      </w:pPr>
      <w:bookmarkStart w:id="96" w:name="_Toc97895937"/>
      <w:r>
        <w:rPr>
          <w:b/>
          <w:bCs/>
          <w:sz w:val="28"/>
          <w:szCs w:val="28"/>
        </w:rPr>
        <w:t xml:space="preserve">8.5 </w:t>
      </w:r>
      <w:r w:rsidR="006C4F1F" w:rsidRPr="001F0E37">
        <w:rPr>
          <w:b/>
          <w:bCs/>
          <w:sz w:val="28"/>
          <w:szCs w:val="28"/>
          <w:u w:val="single"/>
        </w:rPr>
        <w:t xml:space="preserve">Means of </w:t>
      </w:r>
      <w:r w:rsidR="007F5280" w:rsidRPr="001F0E37">
        <w:rPr>
          <w:b/>
          <w:bCs/>
          <w:sz w:val="28"/>
          <w:szCs w:val="28"/>
          <w:u w:val="single"/>
        </w:rPr>
        <w:t xml:space="preserve">safety communication </w:t>
      </w:r>
      <w:r w:rsidR="00E9657E" w:rsidRPr="001F0E37">
        <w:rPr>
          <w:b/>
          <w:bCs/>
          <w:sz w:val="28"/>
          <w:szCs w:val="28"/>
          <w:u w:val="single"/>
        </w:rPr>
        <w:t>(</w:t>
      </w:r>
      <w:r w:rsidR="006C4F1F" w:rsidRPr="001F0E37">
        <w:rPr>
          <w:b/>
          <w:bCs/>
          <w:sz w:val="28"/>
          <w:szCs w:val="28"/>
          <w:u w:val="single"/>
        </w:rPr>
        <w:t>Risk communication Plan</w:t>
      </w:r>
      <w:bookmarkEnd w:id="96"/>
      <w:r w:rsidR="00E9657E" w:rsidRPr="001F0E37">
        <w:rPr>
          <w:b/>
          <w:bCs/>
          <w:sz w:val="28"/>
          <w:szCs w:val="28"/>
          <w:u w:val="single"/>
        </w:rPr>
        <w:t xml:space="preserve"> of NPC)</w:t>
      </w:r>
    </w:p>
    <w:p w14:paraId="30110653" w14:textId="12D42461" w:rsidR="006C4F1F" w:rsidRPr="00DC5391" w:rsidRDefault="006C4F1F" w:rsidP="001F0E37">
      <w:pPr>
        <w:spacing w:before="120" w:after="120" w:line="360" w:lineRule="auto"/>
        <w:ind w:left="540"/>
        <w:jc w:val="both"/>
        <w:rPr>
          <w:rFonts w:asciiTheme="majorBidi" w:hAnsiTheme="majorBidi" w:cstheme="majorBidi"/>
          <w:b/>
          <w:bCs/>
          <w:iCs/>
          <w:color w:val="000000" w:themeColor="text1"/>
          <w:sz w:val="24"/>
          <w:szCs w:val="24"/>
        </w:rPr>
      </w:pPr>
      <w:r w:rsidRPr="00DC5391">
        <w:rPr>
          <w:rFonts w:asciiTheme="majorBidi" w:hAnsiTheme="majorBidi" w:cstheme="majorBidi"/>
          <w:bCs/>
          <w:iCs/>
          <w:color w:val="000000" w:themeColor="text1"/>
          <w:sz w:val="24"/>
          <w:szCs w:val="24"/>
        </w:rPr>
        <w:t>Following are some of the means adopted for safety communication</w:t>
      </w:r>
      <w:r w:rsidR="00760E0C" w:rsidRPr="00DC5391">
        <w:rPr>
          <w:rFonts w:asciiTheme="majorBidi" w:hAnsiTheme="majorBidi" w:cstheme="majorBidi"/>
          <w:bCs/>
          <w:iCs/>
          <w:color w:val="000000" w:themeColor="text1"/>
          <w:sz w:val="24"/>
          <w:szCs w:val="24"/>
        </w:rPr>
        <w:t xml:space="preserve"> as a part of </w:t>
      </w:r>
      <w:r w:rsidR="00054E8C">
        <w:rPr>
          <w:rFonts w:asciiTheme="majorBidi" w:hAnsiTheme="majorBidi" w:cstheme="majorBidi"/>
          <w:bCs/>
          <w:iCs/>
          <w:color w:val="000000" w:themeColor="text1"/>
          <w:sz w:val="24"/>
          <w:szCs w:val="24"/>
        </w:rPr>
        <w:t xml:space="preserve">the </w:t>
      </w:r>
      <w:r w:rsidR="00760E0C" w:rsidRPr="00DC5391">
        <w:rPr>
          <w:rFonts w:asciiTheme="majorBidi" w:hAnsiTheme="majorBidi" w:cstheme="majorBidi"/>
          <w:bCs/>
          <w:iCs/>
          <w:color w:val="000000" w:themeColor="text1"/>
          <w:sz w:val="24"/>
          <w:szCs w:val="24"/>
        </w:rPr>
        <w:t>Risk Communication plan</w:t>
      </w:r>
      <w:r w:rsidRPr="00DC5391">
        <w:rPr>
          <w:rFonts w:asciiTheme="majorBidi" w:hAnsiTheme="majorBidi" w:cstheme="majorBidi"/>
          <w:bCs/>
          <w:iCs/>
          <w:color w:val="000000" w:themeColor="text1"/>
          <w:sz w:val="24"/>
          <w:szCs w:val="24"/>
        </w:rPr>
        <w:t>:</w:t>
      </w:r>
    </w:p>
    <w:p w14:paraId="182C5E25" w14:textId="5364D580" w:rsidR="006C4F1F" w:rsidRPr="00921B1E" w:rsidRDefault="00A47B16" w:rsidP="00C203FB">
      <w:pPr>
        <w:spacing w:before="120" w:after="120"/>
        <w:ind w:left="540"/>
        <w:rPr>
          <w:i/>
          <w:iCs/>
          <w:sz w:val="24"/>
          <w:szCs w:val="24"/>
        </w:rPr>
      </w:pPr>
      <w:bookmarkStart w:id="97" w:name="_Toc97895938"/>
      <w:r w:rsidRPr="00921B1E">
        <w:rPr>
          <w:i/>
          <w:iCs/>
          <w:sz w:val="24"/>
          <w:szCs w:val="24"/>
        </w:rPr>
        <w:t xml:space="preserve">8.5.1 </w:t>
      </w:r>
      <w:r w:rsidR="006C4F1F" w:rsidRPr="00921B1E">
        <w:rPr>
          <w:i/>
          <w:iCs/>
          <w:sz w:val="24"/>
          <w:szCs w:val="24"/>
        </w:rPr>
        <w:t>Direct healthcare professional’s communication (DHPC):</w:t>
      </w:r>
      <w:bookmarkEnd w:id="97"/>
    </w:p>
    <w:p w14:paraId="7924698F" w14:textId="77777777" w:rsidR="006C4F1F" w:rsidRPr="00DC5391" w:rsidRDefault="006C4F1F" w:rsidP="00C203FB">
      <w:pPr>
        <w:spacing w:before="120" w:after="120" w:line="360" w:lineRule="auto"/>
        <w:ind w:left="907"/>
        <w:jc w:val="both"/>
        <w:rPr>
          <w:rFonts w:asciiTheme="majorBidi" w:hAnsiTheme="majorBidi" w:cstheme="majorBidi"/>
          <w:b/>
          <w:bCs/>
          <w:iCs/>
          <w:color w:val="000000" w:themeColor="text1"/>
          <w:sz w:val="24"/>
          <w:szCs w:val="24"/>
        </w:rPr>
      </w:pPr>
      <w:r w:rsidRPr="00DC5391">
        <w:rPr>
          <w:rFonts w:asciiTheme="majorBidi" w:hAnsiTheme="majorBidi" w:cstheme="majorBidi"/>
          <w:color w:val="000000" w:themeColor="text1"/>
          <w:sz w:val="24"/>
          <w:szCs w:val="24"/>
        </w:rPr>
        <w:t>A direct healthcare professional communication (DHPC) is a communication intervention by which important safety information is delivered directly to individual healthcare professionals by a registration holder or NPC, to inform them of the need to take certain actions or adapt their practices in relation to a drug. Dear healthcare professional letter is a form of direct healthcare professional communication.</w:t>
      </w:r>
      <w:r w:rsidRPr="00DC5391">
        <w:rPr>
          <w:rFonts w:asciiTheme="majorBidi" w:hAnsiTheme="majorBidi" w:cstheme="majorBidi"/>
          <w:sz w:val="24"/>
          <w:szCs w:val="24"/>
        </w:rPr>
        <w:t xml:space="preserve"> DRAP may issue safety communications targeting healthcare professionals directly. These may be published on the website of the DRAP. These communications often complement other means for communicating a safety concern (e.g. a DHPC) and are issued around the same time. They contain the DRAP recommendations and advice for risk minimisation for healthcare professionals and provide relevant background information.</w:t>
      </w:r>
    </w:p>
    <w:p w14:paraId="04F29507" w14:textId="469C4D3C" w:rsidR="006C4F1F" w:rsidRPr="00921B1E" w:rsidRDefault="00921B1E" w:rsidP="00921B1E">
      <w:pPr>
        <w:spacing w:before="120" w:after="120"/>
        <w:ind w:left="900"/>
        <w:rPr>
          <w:i/>
          <w:iCs/>
          <w:sz w:val="24"/>
          <w:szCs w:val="24"/>
        </w:rPr>
      </w:pPr>
      <w:bookmarkStart w:id="98" w:name="_Toc97895939"/>
      <w:r>
        <w:rPr>
          <w:i/>
          <w:iCs/>
          <w:sz w:val="24"/>
          <w:szCs w:val="24"/>
        </w:rPr>
        <w:t xml:space="preserve">8.5.2 </w:t>
      </w:r>
      <w:r w:rsidR="006C4F1F" w:rsidRPr="00921B1E">
        <w:rPr>
          <w:i/>
          <w:iCs/>
          <w:sz w:val="24"/>
          <w:szCs w:val="24"/>
        </w:rPr>
        <w:t>Documents in lay language:</w:t>
      </w:r>
      <w:bookmarkEnd w:id="98"/>
      <w:r w:rsidR="006C4F1F" w:rsidRPr="00921B1E">
        <w:rPr>
          <w:i/>
          <w:iCs/>
          <w:sz w:val="24"/>
          <w:szCs w:val="24"/>
        </w:rPr>
        <w:t xml:space="preserve"> </w:t>
      </w:r>
    </w:p>
    <w:p w14:paraId="694BED9B" w14:textId="77777777" w:rsidR="006C4F1F" w:rsidRPr="00DC5391" w:rsidRDefault="006C4F1F" w:rsidP="00921B1E">
      <w:pPr>
        <w:spacing w:before="120" w:after="120" w:line="360" w:lineRule="auto"/>
        <w:ind w:left="900"/>
        <w:jc w:val="both"/>
        <w:rPr>
          <w:rFonts w:asciiTheme="majorBidi" w:hAnsiTheme="majorBidi" w:cstheme="majorBidi"/>
          <w:bCs/>
          <w:iCs/>
          <w:color w:val="000000" w:themeColor="text1"/>
          <w:sz w:val="24"/>
          <w:szCs w:val="24"/>
        </w:rPr>
      </w:pPr>
      <w:r w:rsidRPr="00DC5391">
        <w:rPr>
          <w:rFonts w:asciiTheme="majorBidi" w:hAnsiTheme="majorBidi" w:cstheme="majorBidi"/>
          <w:color w:val="000000" w:themeColor="text1"/>
          <w:sz w:val="24"/>
          <w:szCs w:val="24"/>
        </w:rPr>
        <w:t xml:space="preserve">Communication material in lay language (e.g. using a questions &amp; answers format) helps patients and the general public to understand the scientific evidence and regulatory actions relating to a safety concern. It can also be an additional tool that healthcare professionals can use in their communication with patients. Lay language documents of the registration holders should contain the NPC’s recommendations and advice for risk minimisation for patients and should be accompanied by relevant background information. </w:t>
      </w:r>
    </w:p>
    <w:p w14:paraId="20E738C4" w14:textId="00BA4FAC" w:rsidR="006C4F1F" w:rsidRPr="005C025F" w:rsidRDefault="005C025F" w:rsidP="005C025F">
      <w:pPr>
        <w:spacing w:before="120" w:after="120"/>
        <w:ind w:left="900"/>
        <w:rPr>
          <w:i/>
          <w:iCs/>
          <w:sz w:val="24"/>
          <w:szCs w:val="24"/>
        </w:rPr>
      </w:pPr>
      <w:bookmarkStart w:id="99" w:name="_Toc97895940"/>
      <w:r>
        <w:rPr>
          <w:i/>
          <w:iCs/>
          <w:sz w:val="24"/>
          <w:szCs w:val="24"/>
        </w:rPr>
        <w:t xml:space="preserve">8.5.3 </w:t>
      </w:r>
      <w:r w:rsidR="006C4F1F" w:rsidRPr="005C025F">
        <w:rPr>
          <w:i/>
          <w:iCs/>
          <w:sz w:val="24"/>
          <w:szCs w:val="24"/>
        </w:rPr>
        <w:t>Press communication:</w:t>
      </w:r>
      <w:bookmarkEnd w:id="99"/>
    </w:p>
    <w:p w14:paraId="6179686E" w14:textId="4AFA052A" w:rsidR="006C4F1F" w:rsidRPr="00DC5391" w:rsidRDefault="00E03A13" w:rsidP="005C025F">
      <w:pPr>
        <w:spacing w:before="120" w:after="120" w:line="360" w:lineRule="auto"/>
        <w:ind w:left="900"/>
        <w:jc w:val="both"/>
        <w:rPr>
          <w:rFonts w:asciiTheme="majorBidi" w:hAnsiTheme="majorBidi" w:cstheme="majorBidi"/>
          <w:b/>
          <w:bCs/>
          <w:iCs/>
          <w:color w:val="000000" w:themeColor="text1"/>
          <w:sz w:val="24"/>
          <w:szCs w:val="24"/>
        </w:rPr>
      </w:pPr>
      <w:hyperlink r:id="rId79" w:history="1">
        <w:r w:rsidR="006C4F1F" w:rsidRPr="00B85066">
          <w:rPr>
            <w:rStyle w:val="Hyperlink"/>
            <w:rFonts w:asciiTheme="majorBidi" w:hAnsiTheme="majorBidi" w:cstheme="majorBidi"/>
            <w:sz w:val="24"/>
            <w:szCs w:val="24"/>
          </w:rPr>
          <w:t>Press communication</w:t>
        </w:r>
      </w:hyperlink>
      <w:r w:rsidR="006C4F1F" w:rsidRPr="00DC5391">
        <w:rPr>
          <w:rFonts w:asciiTheme="majorBidi" w:hAnsiTheme="majorBidi" w:cstheme="majorBidi"/>
          <w:color w:val="000000" w:themeColor="text1"/>
          <w:sz w:val="24"/>
          <w:szCs w:val="24"/>
        </w:rPr>
        <w:t xml:space="preserve"> includes press releases and press briefings which are primarily intended for journalists. The public relations officer nominated by DRAP is the only person authorized to engage with the media. DRAP may send press releases directly to </w:t>
      </w:r>
      <w:r w:rsidR="006C4F1F" w:rsidRPr="00DC5391">
        <w:rPr>
          <w:rFonts w:asciiTheme="majorBidi" w:hAnsiTheme="majorBidi" w:cstheme="majorBidi"/>
          <w:color w:val="000000" w:themeColor="text1"/>
          <w:sz w:val="24"/>
          <w:szCs w:val="24"/>
        </w:rPr>
        <w:lastRenderedPageBreak/>
        <w:t>journalists in addition to publishing them on DRAP’s website. This ensures that journalists, in addition to obtaining information from other sources, receive information that is consistent with the DRAP’s scientific assessment. Interaction with the media is an important way to reach out to a wider audience as well as to build trust in the regulatory system. Press releases may also be prepared and published by registration holders. Their press releases should refer to the regulatory action taken by the DRAP. Relevant ongoing reviews should be mentioned in any communication by the registration holders.</w:t>
      </w:r>
    </w:p>
    <w:p w14:paraId="09A82AC4" w14:textId="110C45EC" w:rsidR="006C4F1F" w:rsidRPr="005C025F" w:rsidRDefault="005C025F" w:rsidP="005C025F">
      <w:pPr>
        <w:spacing w:before="120" w:after="120"/>
        <w:ind w:left="900"/>
        <w:rPr>
          <w:i/>
          <w:iCs/>
          <w:sz w:val="24"/>
          <w:szCs w:val="24"/>
        </w:rPr>
      </w:pPr>
      <w:bookmarkStart w:id="100" w:name="_Toc97895941"/>
      <w:r>
        <w:rPr>
          <w:i/>
          <w:iCs/>
          <w:sz w:val="24"/>
          <w:szCs w:val="24"/>
        </w:rPr>
        <w:t xml:space="preserve">8.5.4 </w:t>
      </w:r>
      <w:r w:rsidR="006C4F1F" w:rsidRPr="005C025F">
        <w:rPr>
          <w:i/>
          <w:iCs/>
          <w:sz w:val="24"/>
          <w:szCs w:val="24"/>
        </w:rPr>
        <w:t>Website:</w:t>
      </w:r>
      <w:bookmarkEnd w:id="100"/>
      <w:r w:rsidR="006C4F1F" w:rsidRPr="005C025F">
        <w:rPr>
          <w:i/>
          <w:iCs/>
          <w:sz w:val="24"/>
          <w:szCs w:val="24"/>
        </w:rPr>
        <w:t xml:space="preserve"> </w:t>
      </w:r>
    </w:p>
    <w:p w14:paraId="137D5CC6" w14:textId="4ABC4A91" w:rsidR="006C4F1F" w:rsidRPr="00DC5391" w:rsidRDefault="006C4F1F" w:rsidP="005C025F">
      <w:pPr>
        <w:spacing w:before="120" w:after="120" w:line="360" w:lineRule="auto"/>
        <w:ind w:left="900"/>
        <w:jc w:val="both"/>
        <w:rPr>
          <w:rFonts w:asciiTheme="majorBidi" w:hAnsiTheme="majorBidi" w:cstheme="majorBidi"/>
          <w:b/>
          <w:bCs/>
          <w:iCs/>
          <w:color w:val="000000" w:themeColor="text1"/>
          <w:sz w:val="24"/>
          <w:szCs w:val="24"/>
        </w:rPr>
      </w:pPr>
      <w:r w:rsidRPr="00DC5391">
        <w:rPr>
          <w:rFonts w:asciiTheme="majorBidi" w:hAnsiTheme="majorBidi" w:cstheme="majorBidi"/>
          <w:color w:val="000000" w:themeColor="text1"/>
          <w:sz w:val="24"/>
          <w:szCs w:val="24"/>
        </w:rPr>
        <w:t>A website is a key tool for members of the public (including patients and healthcare professionals) and other stakeholders actively searching the internet for specific information on therapeutic goods. NPC-DRAP as well as registration holders should ensure that important safety information published on websites under their control is easily accessible and understandable by the public. Information on websites should be kept up-to-date, with any information that is out-of-date marked as such or removed.</w:t>
      </w:r>
      <w:r w:rsidR="007F5280">
        <w:rPr>
          <w:rFonts w:asciiTheme="majorBidi" w:hAnsiTheme="majorBidi" w:cstheme="majorBidi"/>
          <w:color w:val="000000" w:themeColor="text1"/>
          <w:sz w:val="24"/>
          <w:szCs w:val="24"/>
        </w:rPr>
        <w:t xml:space="preserve"> DRAP has allocated a dedicated portion of its </w:t>
      </w:r>
      <w:hyperlink r:id="rId80" w:history="1">
        <w:r w:rsidR="007F5280" w:rsidRPr="00D729ED">
          <w:rPr>
            <w:rStyle w:val="Hyperlink"/>
            <w:rFonts w:asciiTheme="majorBidi" w:hAnsiTheme="majorBidi" w:cstheme="majorBidi"/>
            <w:sz w:val="24"/>
            <w:szCs w:val="24"/>
          </w:rPr>
          <w:t>website</w:t>
        </w:r>
      </w:hyperlink>
      <w:r w:rsidR="007F5280">
        <w:rPr>
          <w:rFonts w:asciiTheme="majorBidi" w:hAnsiTheme="majorBidi" w:cstheme="majorBidi"/>
          <w:color w:val="000000" w:themeColor="text1"/>
          <w:sz w:val="24"/>
          <w:szCs w:val="24"/>
        </w:rPr>
        <w:t xml:space="preserve"> for safety that contains necessary information related to safety alerts, reporting and the basics of the pharmacovigilance system.</w:t>
      </w:r>
    </w:p>
    <w:p w14:paraId="4B5CDAEA" w14:textId="217BD758" w:rsidR="006C4F1F" w:rsidRPr="00592E16" w:rsidRDefault="00592E16" w:rsidP="00592E16">
      <w:pPr>
        <w:spacing w:before="120" w:after="120" w:line="360" w:lineRule="auto"/>
        <w:ind w:left="900"/>
        <w:rPr>
          <w:i/>
          <w:iCs/>
          <w:sz w:val="24"/>
          <w:szCs w:val="24"/>
        </w:rPr>
      </w:pPr>
      <w:bookmarkStart w:id="101" w:name="_Toc97895942"/>
      <w:r>
        <w:rPr>
          <w:i/>
          <w:iCs/>
          <w:sz w:val="24"/>
          <w:szCs w:val="24"/>
        </w:rPr>
        <w:t xml:space="preserve">8.5.5 </w:t>
      </w:r>
      <w:r w:rsidR="006C4F1F" w:rsidRPr="00592E16">
        <w:rPr>
          <w:i/>
          <w:iCs/>
          <w:sz w:val="24"/>
          <w:szCs w:val="24"/>
        </w:rPr>
        <w:t>Social media and other online communications</w:t>
      </w:r>
      <w:bookmarkEnd w:id="101"/>
    </w:p>
    <w:p w14:paraId="44472BAF" w14:textId="77777777" w:rsidR="006C4F1F" w:rsidRPr="00DC5391" w:rsidRDefault="006C4F1F" w:rsidP="00592E16">
      <w:pPr>
        <w:spacing w:before="120" w:after="120" w:line="360" w:lineRule="auto"/>
        <w:ind w:left="900"/>
        <w:jc w:val="both"/>
        <w:rPr>
          <w:rFonts w:asciiTheme="majorBidi" w:hAnsiTheme="majorBidi" w:cstheme="majorBidi"/>
          <w:b/>
          <w:bCs/>
          <w:iCs/>
          <w:color w:val="000000" w:themeColor="text1"/>
          <w:sz w:val="24"/>
          <w:szCs w:val="24"/>
        </w:rPr>
      </w:pPr>
      <w:r w:rsidRPr="00DC5391">
        <w:rPr>
          <w:rFonts w:asciiTheme="majorBidi" w:hAnsiTheme="majorBidi" w:cstheme="majorBidi"/>
          <w:sz w:val="24"/>
          <w:szCs w:val="24"/>
        </w:rPr>
        <w:t>Online safety information may also be disseminated via social media platforms such as Facebook, Twitter and LinkedIn and other web tools. When using newer, more rapid communication channels, special attention should be paid to ensure that the accuracy of the information released is not compromised</w:t>
      </w:r>
    </w:p>
    <w:p w14:paraId="7963A8E5" w14:textId="2A3B50A7" w:rsidR="006C4F1F" w:rsidRPr="00592E16" w:rsidRDefault="00592E16" w:rsidP="00592E16">
      <w:pPr>
        <w:spacing w:before="120" w:after="120" w:line="360" w:lineRule="auto"/>
        <w:ind w:left="900"/>
        <w:rPr>
          <w:i/>
          <w:iCs/>
          <w:sz w:val="24"/>
          <w:szCs w:val="24"/>
        </w:rPr>
      </w:pPr>
      <w:bookmarkStart w:id="102" w:name="_Toc97895943"/>
      <w:r>
        <w:rPr>
          <w:i/>
          <w:iCs/>
          <w:sz w:val="24"/>
          <w:szCs w:val="24"/>
        </w:rPr>
        <w:t xml:space="preserve">8.5.6 </w:t>
      </w:r>
      <w:r w:rsidR="006C4F1F" w:rsidRPr="00592E16">
        <w:rPr>
          <w:i/>
          <w:iCs/>
          <w:sz w:val="24"/>
          <w:szCs w:val="24"/>
        </w:rPr>
        <w:t>Therapeutic good safety alert</w:t>
      </w:r>
      <w:bookmarkEnd w:id="102"/>
      <w:r w:rsidR="006C4F1F" w:rsidRPr="00592E16">
        <w:rPr>
          <w:i/>
          <w:iCs/>
          <w:sz w:val="24"/>
          <w:szCs w:val="24"/>
        </w:rPr>
        <w:t xml:space="preserve"> </w:t>
      </w:r>
    </w:p>
    <w:p w14:paraId="7F534E9A" w14:textId="60F5DA1B" w:rsidR="006C4F1F" w:rsidRPr="00DC5391" w:rsidRDefault="006C4F1F" w:rsidP="00592E16">
      <w:pPr>
        <w:spacing w:before="120" w:after="120" w:line="360" w:lineRule="auto"/>
        <w:ind w:left="900"/>
        <w:jc w:val="both"/>
        <w:rPr>
          <w:rFonts w:asciiTheme="majorBidi" w:hAnsiTheme="majorBidi" w:cstheme="majorBidi"/>
          <w:b/>
          <w:bCs/>
          <w:iCs/>
          <w:color w:val="000000" w:themeColor="text1"/>
          <w:sz w:val="24"/>
          <w:szCs w:val="24"/>
        </w:rPr>
      </w:pPr>
      <w:r w:rsidRPr="00DC5391">
        <w:rPr>
          <w:rFonts w:asciiTheme="majorBidi" w:hAnsiTheme="majorBidi" w:cstheme="majorBidi"/>
          <w:bCs/>
          <w:iCs/>
          <w:color w:val="000000" w:themeColor="text1"/>
          <w:sz w:val="24"/>
          <w:szCs w:val="24"/>
        </w:rPr>
        <w:t xml:space="preserve">When a new safety concern is detected, it is promptly issued in the form of therapeutic goods safety alert by NPC, DRAP. The </w:t>
      </w:r>
      <w:hyperlink r:id="rId81" w:history="1">
        <w:r w:rsidRPr="007F5280">
          <w:rPr>
            <w:rStyle w:val="Hyperlink"/>
            <w:rFonts w:asciiTheme="majorBidi" w:hAnsiTheme="majorBidi" w:cstheme="majorBidi"/>
            <w:bCs/>
            <w:iCs/>
            <w:sz w:val="24"/>
            <w:szCs w:val="24"/>
          </w:rPr>
          <w:t>therapeutic good safety alerts</w:t>
        </w:r>
      </w:hyperlink>
      <w:r w:rsidRPr="00DC5391">
        <w:rPr>
          <w:rFonts w:asciiTheme="majorBidi" w:hAnsiTheme="majorBidi" w:cstheme="majorBidi"/>
          <w:bCs/>
          <w:iCs/>
          <w:color w:val="000000" w:themeColor="text1"/>
          <w:sz w:val="24"/>
          <w:szCs w:val="24"/>
        </w:rPr>
        <w:t xml:space="preserve"> are communicated </w:t>
      </w:r>
      <w:r w:rsidR="00E91CC9">
        <w:rPr>
          <w:rFonts w:asciiTheme="majorBidi" w:hAnsiTheme="majorBidi" w:cstheme="majorBidi"/>
          <w:bCs/>
          <w:iCs/>
          <w:color w:val="000000" w:themeColor="text1"/>
          <w:sz w:val="24"/>
          <w:szCs w:val="24"/>
        </w:rPr>
        <w:t xml:space="preserve">and </w:t>
      </w:r>
      <w:hyperlink r:id="rId82" w:history="1">
        <w:r w:rsidRPr="007F5280">
          <w:rPr>
            <w:rStyle w:val="Hyperlink"/>
            <w:rFonts w:asciiTheme="majorBidi" w:hAnsiTheme="majorBidi" w:cstheme="majorBidi"/>
            <w:bCs/>
            <w:iCs/>
            <w:sz w:val="24"/>
            <w:szCs w:val="24"/>
          </w:rPr>
          <w:t>uploaded on the DRAP website</w:t>
        </w:r>
      </w:hyperlink>
      <w:r w:rsidRPr="00DC5391">
        <w:rPr>
          <w:rFonts w:asciiTheme="majorBidi" w:hAnsiTheme="majorBidi" w:cstheme="majorBidi"/>
          <w:bCs/>
          <w:iCs/>
          <w:color w:val="000000" w:themeColor="text1"/>
          <w:sz w:val="24"/>
          <w:szCs w:val="24"/>
        </w:rPr>
        <w:t xml:space="preserve"> or sometimes through social media as </w:t>
      </w:r>
      <w:r w:rsidR="007A0A08">
        <w:rPr>
          <w:rFonts w:asciiTheme="majorBidi" w:hAnsiTheme="majorBidi" w:cstheme="majorBidi"/>
          <w:bCs/>
          <w:iCs/>
          <w:color w:val="000000" w:themeColor="text1"/>
          <w:sz w:val="24"/>
          <w:szCs w:val="24"/>
        </w:rPr>
        <w:t xml:space="preserve">the </w:t>
      </w:r>
      <w:r w:rsidRPr="00DC5391">
        <w:rPr>
          <w:rFonts w:asciiTheme="majorBidi" w:hAnsiTheme="majorBidi" w:cstheme="majorBidi"/>
          <w:bCs/>
          <w:iCs/>
          <w:color w:val="000000" w:themeColor="text1"/>
          <w:sz w:val="24"/>
          <w:szCs w:val="24"/>
        </w:rPr>
        <w:t xml:space="preserve">public safety information for healthcare professionals, patients and registration holders. </w:t>
      </w:r>
      <w:r w:rsidRPr="00DC5391">
        <w:rPr>
          <w:rFonts w:asciiTheme="majorBidi" w:hAnsiTheme="majorBidi" w:cstheme="majorBidi"/>
          <w:sz w:val="24"/>
          <w:szCs w:val="24"/>
        </w:rPr>
        <w:t>NPC may also communicate through email or other web-based announc</w:t>
      </w:r>
      <w:r w:rsidR="00E91CC9">
        <w:rPr>
          <w:rFonts w:asciiTheme="majorBidi" w:hAnsiTheme="majorBidi" w:cstheme="majorBidi"/>
          <w:sz w:val="24"/>
          <w:szCs w:val="24"/>
        </w:rPr>
        <w:t>e</w:t>
      </w:r>
      <w:r w:rsidRPr="00DC5391">
        <w:rPr>
          <w:rFonts w:asciiTheme="majorBidi" w:hAnsiTheme="majorBidi" w:cstheme="majorBidi"/>
          <w:sz w:val="24"/>
          <w:szCs w:val="24"/>
        </w:rPr>
        <w:t>ment</w:t>
      </w:r>
      <w:r w:rsidR="007A0A08">
        <w:rPr>
          <w:rFonts w:asciiTheme="majorBidi" w:hAnsiTheme="majorBidi" w:cstheme="majorBidi"/>
          <w:sz w:val="24"/>
          <w:szCs w:val="24"/>
        </w:rPr>
        <w:t>s</w:t>
      </w:r>
      <w:r w:rsidRPr="00DC5391">
        <w:rPr>
          <w:rFonts w:asciiTheme="majorBidi" w:hAnsiTheme="majorBidi" w:cstheme="majorBidi"/>
          <w:sz w:val="24"/>
          <w:szCs w:val="24"/>
        </w:rPr>
        <w:t xml:space="preserve"> with the registration holders when a signal is detected.</w:t>
      </w:r>
    </w:p>
    <w:p w14:paraId="39FB5C10" w14:textId="200DEE3D" w:rsidR="006C4F1F" w:rsidRPr="00592E16" w:rsidRDefault="00592E16" w:rsidP="00592E16">
      <w:pPr>
        <w:spacing w:before="120" w:after="120" w:line="360" w:lineRule="auto"/>
        <w:ind w:left="900"/>
        <w:rPr>
          <w:i/>
          <w:iCs/>
          <w:sz w:val="24"/>
          <w:szCs w:val="24"/>
        </w:rPr>
      </w:pPr>
      <w:bookmarkStart w:id="103" w:name="_Toc97895944"/>
      <w:r>
        <w:rPr>
          <w:i/>
          <w:iCs/>
          <w:sz w:val="24"/>
          <w:szCs w:val="24"/>
        </w:rPr>
        <w:t xml:space="preserve">8.5.7 </w:t>
      </w:r>
      <w:r w:rsidR="006C4F1F" w:rsidRPr="00592E16">
        <w:rPr>
          <w:i/>
          <w:iCs/>
          <w:sz w:val="24"/>
          <w:szCs w:val="24"/>
        </w:rPr>
        <w:t>Newsletter:</w:t>
      </w:r>
      <w:bookmarkEnd w:id="103"/>
    </w:p>
    <w:p w14:paraId="7B079DDD" w14:textId="75A3EF1F" w:rsidR="006C4F1F" w:rsidRPr="00DC5391" w:rsidRDefault="006C4F1F" w:rsidP="00592E16">
      <w:pPr>
        <w:spacing w:before="120" w:after="120" w:line="360" w:lineRule="auto"/>
        <w:ind w:left="900"/>
        <w:jc w:val="both"/>
        <w:rPr>
          <w:rFonts w:asciiTheme="majorBidi" w:hAnsiTheme="majorBidi" w:cstheme="majorBidi"/>
          <w:bCs/>
          <w:iCs/>
          <w:color w:val="000000" w:themeColor="text1"/>
          <w:sz w:val="24"/>
          <w:szCs w:val="24"/>
        </w:rPr>
      </w:pPr>
      <w:r w:rsidRPr="00DC5391">
        <w:rPr>
          <w:rFonts w:asciiTheme="majorBidi" w:hAnsiTheme="majorBidi" w:cstheme="majorBidi"/>
          <w:color w:val="000000" w:themeColor="text1"/>
          <w:sz w:val="24"/>
          <w:szCs w:val="24"/>
        </w:rPr>
        <w:lastRenderedPageBreak/>
        <w:t>Bulletins and newsletters provide at regular intervals information about therapeutic good and their safety and effectiveness. These tools may serve as reminders of previous communications. NPC can reach a large audience with these tools by using web-based and other available means. Through newsletter findings and regulatory status of medicines is communicated within Pakistan as well as globally. T</w:t>
      </w:r>
      <w:r w:rsidRPr="00DC5391">
        <w:rPr>
          <w:rFonts w:asciiTheme="majorBidi" w:hAnsiTheme="majorBidi" w:cstheme="majorBidi"/>
          <w:color w:val="000000"/>
          <w:sz w:val="24"/>
          <w:szCs w:val="24"/>
        </w:rPr>
        <w:t>he newsletter is for everyone concerned with the issues of PV and provides practical information and advice on drug and therapeutic goods’ safety and information about emerging safety issues.</w:t>
      </w:r>
    </w:p>
    <w:p w14:paraId="6E400F22" w14:textId="665E1073" w:rsidR="006C4F1F" w:rsidRPr="00C50909" w:rsidRDefault="00C50909" w:rsidP="00C50909">
      <w:pPr>
        <w:spacing w:before="120" w:after="120" w:line="360" w:lineRule="auto"/>
        <w:ind w:left="900"/>
        <w:rPr>
          <w:i/>
          <w:iCs/>
          <w:sz w:val="24"/>
          <w:szCs w:val="24"/>
        </w:rPr>
      </w:pPr>
      <w:bookmarkStart w:id="104" w:name="_Toc97895945"/>
      <w:r>
        <w:rPr>
          <w:i/>
          <w:iCs/>
          <w:sz w:val="24"/>
          <w:szCs w:val="24"/>
        </w:rPr>
        <w:t xml:space="preserve">8.5.8 </w:t>
      </w:r>
      <w:r w:rsidR="006C4F1F" w:rsidRPr="00C50909">
        <w:rPr>
          <w:i/>
          <w:iCs/>
          <w:sz w:val="24"/>
          <w:szCs w:val="24"/>
        </w:rPr>
        <w:t>Inter and Intra country communication:</w:t>
      </w:r>
      <w:bookmarkEnd w:id="104"/>
      <w:r w:rsidR="006C4F1F" w:rsidRPr="00C50909">
        <w:rPr>
          <w:i/>
          <w:iCs/>
          <w:sz w:val="24"/>
          <w:szCs w:val="24"/>
        </w:rPr>
        <w:t xml:space="preserve"> </w:t>
      </w:r>
    </w:p>
    <w:p w14:paraId="2A918244" w14:textId="647EBBFB" w:rsidR="006C4F1F" w:rsidRPr="00DC5391" w:rsidRDefault="006C4F1F" w:rsidP="00C50909">
      <w:pPr>
        <w:spacing w:before="120" w:after="120" w:line="360" w:lineRule="auto"/>
        <w:ind w:left="900"/>
        <w:jc w:val="both"/>
        <w:rPr>
          <w:rFonts w:asciiTheme="majorBidi" w:hAnsiTheme="majorBidi" w:cstheme="majorBidi"/>
          <w:b/>
          <w:bCs/>
          <w:iCs/>
          <w:color w:val="000000" w:themeColor="text1"/>
          <w:sz w:val="24"/>
          <w:szCs w:val="24"/>
        </w:rPr>
      </w:pPr>
      <w:r w:rsidRPr="00DC5391">
        <w:rPr>
          <w:rFonts w:asciiTheme="majorBidi" w:hAnsiTheme="majorBidi" w:cstheme="majorBidi"/>
          <w:bCs/>
          <w:iCs/>
          <w:color w:val="000000" w:themeColor="text1"/>
          <w:sz w:val="24"/>
          <w:szCs w:val="24"/>
        </w:rPr>
        <w:t xml:space="preserve">NPC-DRAP shall inform the provincial pharmacovigilance centres in a timely manner about the regulatory actions taken at the level of </w:t>
      </w:r>
      <w:r w:rsidR="00E06071">
        <w:rPr>
          <w:rFonts w:asciiTheme="majorBidi" w:hAnsiTheme="majorBidi" w:cstheme="majorBidi"/>
          <w:bCs/>
          <w:iCs/>
          <w:color w:val="000000" w:themeColor="text1"/>
          <w:sz w:val="24"/>
          <w:szCs w:val="24"/>
        </w:rPr>
        <w:t xml:space="preserve">the </w:t>
      </w:r>
      <w:r w:rsidR="00E06071" w:rsidRPr="00DC5391">
        <w:rPr>
          <w:rFonts w:asciiTheme="majorBidi" w:hAnsiTheme="majorBidi" w:cstheme="majorBidi"/>
          <w:bCs/>
          <w:iCs/>
          <w:color w:val="000000" w:themeColor="text1"/>
          <w:sz w:val="24"/>
          <w:szCs w:val="24"/>
        </w:rPr>
        <w:t xml:space="preserve">National </w:t>
      </w:r>
      <w:r w:rsidRPr="00DC5391">
        <w:rPr>
          <w:rFonts w:asciiTheme="majorBidi" w:hAnsiTheme="majorBidi" w:cstheme="majorBidi"/>
          <w:bCs/>
          <w:iCs/>
          <w:color w:val="000000" w:themeColor="text1"/>
          <w:sz w:val="24"/>
          <w:szCs w:val="24"/>
        </w:rPr>
        <w:t>level with regard to the new safety concern. DRAP may also inform regional bodies and regulatory authorities of other states about the newly detected safety concerns. Likewise, other regulatory authorities and regional and international bodies such as WHO and UMC also share new safety concerns with DRAP.</w:t>
      </w:r>
    </w:p>
    <w:p w14:paraId="2B3F285F" w14:textId="015288C6" w:rsidR="006C4F1F" w:rsidRPr="003C380E" w:rsidRDefault="003C380E" w:rsidP="003C380E">
      <w:pPr>
        <w:spacing w:before="120" w:after="120" w:line="360" w:lineRule="auto"/>
        <w:ind w:left="900"/>
        <w:rPr>
          <w:i/>
          <w:iCs/>
          <w:sz w:val="24"/>
          <w:szCs w:val="24"/>
        </w:rPr>
      </w:pPr>
      <w:bookmarkStart w:id="105" w:name="_Toc97895946"/>
      <w:r>
        <w:rPr>
          <w:i/>
          <w:iCs/>
          <w:sz w:val="24"/>
          <w:szCs w:val="24"/>
        </w:rPr>
        <w:t xml:space="preserve">8.5.9 </w:t>
      </w:r>
      <w:r w:rsidR="006C4F1F" w:rsidRPr="003C380E">
        <w:rPr>
          <w:i/>
          <w:iCs/>
          <w:sz w:val="24"/>
          <w:szCs w:val="24"/>
        </w:rPr>
        <w:t>Advisories:</w:t>
      </w:r>
      <w:bookmarkEnd w:id="105"/>
      <w:r w:rsidR="006C4F1F" w:rsidRPr="003C380E">
        <w:rPr>
          <w:i/>
          <w:iCs/>
          <w:sz w:val="24"/>
          <w:szCs w:val="24"/>
        </w:rPr>
        <w:t xml:space="preserve"> </w:t>
      </w:r>
    </w:p>
    <w:p w14:paraId="30FC8ACC" w14:textId="28850CB8" w:rsidR="006C4F1F" w:rsidRPr="00DC5391" w:rsidRDefault="006C4F1F" w:rsidP="003C380E">
      <w:pPr>
        <w:spacing w:before="120" w:after="120" w:line="360" w:lineRule="auto"/>
        <w:ind w:left="900"/>
        <w:jc w:val="both"/>
        <w:rPr>
          <w:rFonts w:asciiTheme="majorBidi" w:hAnsiTheme="majorBidi" w:cstheme="majorBidi"/>
          <w:b/>
          <w:bCs/>
          <w:iCs/>
          <w:color w:val="000000" w:themeColor="text1"/>
          <w:sz w:val="24"/>
          <w:szCs w:val="24"/>
        </w:rPr>
      </w:pPr>
      <w:r w:rsidRPr="00DC5391">
        <w:rPr>
          <w:rFonts w:asciiTheme="majorBidi" w:hAnsiTheme="majorBidi" w:cstheme="majorBidi"/>
          <w:bCs/>
          <w:iCs/>
          <w:color w:val="000000" w:themeColor="text1"/>
          <w:sz w:val="24"/>
          <w:szCs w:val="24"/>
        </w:rPr>
        <w:t>NPC, DRAP and other Divisions of the Drug Regulatory Authority of Pakistan also prepare advisories for different stakeholders about the safety</w:t>
      </w:r>
      <w:r w:rsidR="00DB024A">
        <w:rPr>
          <w:rFonts w:asciiTheme="majorBidi" w:hAnsiTheme="majorBidi" w:cstheme="majorBidi"/>
          <w:bCs/>
          <w:iCs/>
          <w:color w:val="000000" w:themeColor="text1"/>
          <w:sz w:val="24"/>
          <w:szCs w:val="24"/>
        </w:rPr>
        <w:t xml:space="preserve">, </w:t>
      </w:r>
      <w:r w:rsidRPr="00DC5391">
        <w:rPr>
          <w:rFonts w:asciiTheme="majorBidi" w:hAnsiTheme="majorBidi" w:cstheme="majorBidi"/>
          <w:bCs/>
          <w:iCs/>
          <w:color w:val="000000" w:themeColor="text1"/>
          <w:sz w:val="24"/>
          <w:szCs w:val="24"/>
        </w:rPr>
        <w:t>quality</w:t>
      </w:r>
      <w:r w:rsidR="00DB024A">
        <w:rPr>
          <w:rFonts w:asciiTheme="majorBidi" w:hAnsiTheme="majorBidi" w:cstheme="majorBidi"/>
          <w:bCs/>
          <w:iCs/>
          <w:color w:val="000000" w:themeColor="text1"/>
          <w:sz w:val="24"/>
          <w:szCs w:val="24"/>
        </w:rPr>
        <w:t xml:space="preserve"> and availability</w:t>
      </w:r>
      <w:r w:rsidRPr="00DC5391">
        <w:rPr>
          <w:rFonts w:asciiTheme="majorBidi" w:hAnsiTheme="majorBidi" w:cstheme="majorBidi"/>
          <w:bCs/>
          <w:iCs/>
          <w:color w:val="000000" w:themeColor="text1"/>
          <w:sz w:val="24"/>
          <w:szCs w:val="24"/>
        </w:rPr>
        <w:t xml:space="preserve"> of therapeutic goods, which after approval are disseminated through different means </w:t>
      </w:r>
      <w:r w:rsidR="00DB024A">
        <w:rPr>
          <w:rFonts w:asciiTheme="majorBidi" w:hAnsiTheme="majorBidi" w:cstheme="majorBidi"/>
          <w:bCs/>
          <w:iCs/>
          <w:color w:val="000000" w:themeColor="text1"/>
          <w:sz w:val="24"/>
          <w:szCs w:val="24"/>
        </w:rPr>
        <w:t>to</w:t>
      </w:r>
      <w:r w:rsidRPr="00DC5391">
        <w:rPr>
          <w:rFonts w:asciiTheme="majorBidi" w:hAnsiTheme="majorBidi" w:cstheme="majorBidi"/>
          <w:bCs/>
          <w:iCs/>
          <w:color w:val="000000" w:themeColor="text1"/>
          <w:sz w:val="24"/>
          <w:szCs w:val="24"/>
        </w:rPr>
        <w:t xml:space="preserve"> pharmacovigilance stakeholders.</w:t>
      </w:r>
    </w:p>
    <w:p w14:paraId="6365761F" w14:textId="1345B9DA" w:rsidR="006C4F1F" w:rsidRPr="00152E5D" w:rsidRDefault="00152E5D" w:rsidP="00152E5D">
      <w:pPr>
        <w:spacing w:before="120" w:after="120" w:line="360" w:lineRule="auto"/>
        <w:ind w:left="900"/>
        <w:rPr>
          <w:i/>
          <w:iCs/>
          <w:sz w:val="24"/>
          <w:szCs w:val="24"/>
        </w:rPr>
      </w:pPr>
      <w:bookmarkStart w:id="106" w:name="_Toc97895947"/>
      <w:r>
        <w:rPr>
          <w:i/>
          <w:iCs/>
          <w:sz w:val="24"/>
          <w:szCs w:val="24"/>
        </w:rPr>
        <w:t xml:space="preserve">8.5.10 </w:t>
      </w:r>
      <w:r w:rsidR="006C4F1F" w:rsidRPr="00152E5D">
        <w:rPr>
          <w:i/>
          <w:iCs/>
          <w:sz w:val="24"/>
          <w:szCs w:val="24"/>
        </w:rPr>
        <w:t>Responding to enquir</w:t>
      </w:r>
      <w:r w:rsidR="00DB024A">
        <w:rPr>
          <w:i/>
          <w:iCs/>
          <w:sz w:val="24"/>
          <w:szCs w:val="24"/>
        </w:rPr>
        <w:t>i</w:t>
      </w:r>
      <w:r w:rsidR="006C4F1F" w:rsidRPr="00152E5D">
        <w:rPr>
          <w:i/>
          <w:iCs/>
          <w:sz w:val="24"/>
          <w:szCs w:val="24"/>
        </w:rPr>
        <w:t>es from the Public:</w:t>
      </w:r>
      <w:bookmarkEnd w:id="106"/>
      <w:r w:rsidR="006C4F1F" w:rsidRPr="00152E5D">
        <w:rPr>
          <w:i/>
          <w:iCs/>
          <w:sz w:val="24"/>
          <w:szCs w:val="24"/>
        </w:rPr>
        <w:t xml:space="preserve"> </w:t>
      </w:r>
    </w:p>
    <w:p w14:paraId="690F1F84" w14:textId="7E3D02C3" w:rsidR="006C4F1F" w:rsidRDefault="006C4F1F" w:rsidP="00152E5D">
      <w:pPr>
        <w:spacing w:before="120" w:after="120" w:line="360" w:lineRule="auto"/>
        <w:ind w:left="900"/>
        <w:jc w:val="both"/>
        <w:rPr>
          <w:rFonts w:asciiTheme="majorBidi" w:hAnsiTheme="majorBidi" w:cstheme="majorBidi"/>
          <w:color w:val="000000" w:themeColor="text1"/>
          <w:sz w:val="24"/>
          <w:szCs w:val="24"/>
        </w:rPr>
      </w:pPr>
      <w:r w:rsidRPr="00DC5391">
        <w:rPr>
          <w:rFonts w:asciiTheme="majorBidi" w:hAnsiTheme="majorBidi" w:cstheme="majorBidi"/>
          <w:color w:val="000000" w:themeColor="text1"/>
          <w:sz w:val="24"/>
          <w:szCs w:val="24"/>
        </w:rPr>
        <w:t xml:space="preserve"> DRAP and registration holders should have systems in place for responding to enquiries about therapeutic goods from individual members of the public. In Pakistan, there is the Pakistan Citizen Portal mobile application where the public can complain about public offices on any matter of their daily life including matters related to therapeutic goods. Responses should </w:t>
      </w:r>
      <w:proofErr w:type="gramStart"/>
      <w:r w:rsidRPr="00DC5391">
        <w:rPr>
          <w:rFonts w:asciiTheme="majorBidi" w:hAnsiTheme="majorBidi" w:cstheme="majorBidi"/>
          <w:color w:val="000000" w:themeColor="text1"/>
          <w:sz w:val="24"/>
          <w:szCs w:val="24"/>
        </w:rPr>
        <w:t>take into account</w:t>
      </w:r>
      <w:proofErr w:type="gramEnd"/>
      <w:r w:rsidRPr="00DC5391">
        <w:rPr>
          <w:rFonts w:asciiTheme="majorBidi" w:hAnsiTheme="majorBidi" w:cstheme="majorBidi"/>
          <w:color w:val="000000" w:themeColor="text1"/>
          <w:sz w:val="24"/>
          <w:szCs w:val="24"/>
        </w:rPr>
        <w:t xml:space="preserve"> the information which is in the public domain and should include the relevant recommendations to patients and healthcare professionals issued by DRAP. Where questions relate to individual treatment advice, the patient should be advised to contact a healthcare professional</w:t>
      </w:r>
    </w:p>
    <w:p w14:paraId="059FE290" w14:textId="53307724" w:rsidR="00DD1089" w:rsidRDefault="00DD1089" w:rsidP="00DD1089">
      <w:pPr>
        <w:spacing w:before="120" w:after="120" w:line="360" w:lineRule="auto"/>
        <w:ind w:left="540" w:hanging="540"/>
        <w:jc w:val="both"/>
        <w:rPr>
          <w:rFonts w:asciiTheme="majorBidi" w:hAnsiTheme="majorBidi" w:cstheme="majorBidi"/>
          <w:b/>
          <w:bCs/>
          <w:color w:val="000000" w:themeColor="text1"/>
          <w:sz w:val="28"/>
          <w:szCs w:val="28"/>
          <w:u w:val="single"/>
        </w:rPr>
      </w:pPr>
      <w:r w:rsidRPr="00C4623C">
        <w:rPr>
          <w:rFonts w:asciiTheme="majorBidi" w:hAnsiTheme="majorBidi" w:cstheme="majorBidi"/>
          <w:b/>
          <w:bCs/>
          <w:color w:val="000000" w:themeColor="text1"/>
          <w:sz w:val="28"/>
          <w:szCs w:val="28"/>
        </w:rPr>
        <w:t>8.6</w:t>
      </w:r>
      <w:r w:rsidRPr="00DD1089">
        <w:rPr>
          <w:rFonts w:asciiTheme="majorBidi" w:hAnsiTheme="majorBidi" w:cstheme="majorBidi"/>
          <w:color w:val="000000" w:themeColor="text1"/>
          <w:sz w:val="28"/>
          <w:szCs w:val="28"/>
        </w:rPr>
        <w:t xml:space="preserve"> </w:t>
      </w:r>
      <w:r w:rsidRPr="00DD1089">
        <w:rPr>
          <w:rFonts w:asciiTheme="majorBidi" w:hAnsiTheme="majorBidi" w:cstheme="majorBidi"/>
          <w:b/>
          <w:bCs/>
          <w:color w:val="000000" w:themeColor="text1"/>
          <w:sz w:val="28"/>
          <w:szCs w:val="28"/>
          <w:u w:val="single"/>
        </w:rPr>
        <w:t>Function of PRAEC regarding the assessment of risk</w:t>
      </w:r>
      <w:r w:rsidR="004E35CA">
        <w:rPr>
          <w:rFonts w:asciiTheme="majorBidi" w:hAnsiTheme="majorBidi" w:cstheme="majorBidi"/>
          <w:b/>
          <w:bCs/>
          <w:color w:val="000000" w:themeColor="text1"/>
          <w:sz w:val="28"/>
          <w:szCs w:val="28"/>
          <w:u w:val="single"/>
        </w:rPr>
        <w:t>s</w:t>
      </w:r>
      <w:r w:rsidRPr="00DD1089">
        <w:rPr>
          <w:rFonts w:asciiTheme="majorBidi" w:hAnsiTheme="majorBidi" w:cstheme="majorBidi"/>
          <w:b/>
          <w:bCs/>
          <w:color w:val="000000" w:themeColor="text1"/>
          <w:sz w:val="28"/>
          <w:szCs w:val="28"/>
          <w:u w:val="single"/>
        </w:rPr>
        <w:t xml:space="preserve"> and regulatory action thereof.</w:t>
      </w:r>
    </w:p>
    <w:p w14:paraId="24A32023" w14:textId="187C5D1F" w:rsidR="00DD1089" w:rsidRDefault="00DD1089" w:rsidP="00DD1089">
      <w:pPr>
        <w:spacing w:before="120" w:after="120" w:line="360" w:lineRule="auto"/>
        <w:ind w:left="547"/>
        <w:jc w:val="both"/>
        <w:rPr>
          <w:iCs/>
          <w:sz w:val="24"/>
          <w:szCs w:val="24"/>
        </w:rPr>
      </w:pPr>
      <w:r w:rsidRPr="00DD1089">
        <w:rPr>
          <w:rFonts w:asciiTheme="majorBidi" w:hAnsiTheme="majorBidi" w:cstheme="majorBidi"/>
          <w:color w:val="000000" w:themeColor="text1"/>
          <w:sz w:val="24"/>
          <w:szCs w:val="24"/>
        </w:rPr>
        <w:lastRenderedPageBreak/>
        <w:t xml:space="preserve">The PRAEC as per clause (a) of sub-rule (1) of </w:t>
      </w:r>
      <w:r>
        <w:rPr>
          <w:rFonts w:asciiTheme="majorBidi" w:hAnsiTheme="majorBidi" w:cstheme="majorBidi"/>
          <w:color w:val="000000" w:themeColor="text1"/>
          <w:sz w:val="24"/>
          <w:szCs w:val="24"/>
        </w:rPr>
        <w:t xml:space="preserve">Rule </w:t>
      </w:r>
      <w:r w:rsidRPr="00DD1089">
        <w:rPr>
          <w:rFonts w:asciiTheme="majorBidi" w:hAnsiTheme="majorBidi" w:cstheme="majorBidi"/>
          <w:color w:val="000000" w:themeColor="text1"/>
          <w:sz w:val="24"/>
          <w:szCs w:val="24"/>
        </w:rPr>
        <w:t>10</w:t>
      </w:r>
      <w:r>
        <w:rPr>
          <w:rFonts w:asciiTheme="majorBidi" w:hAnsiTheme="majorBidi" w:cstheme="majorBidi"/>
          <w:color w:val="000000" w:themeColor="text1"/>
          <w:sz w:val="24"/>
          <w:szCs w:val="24"/>
        </w:rPr>
        <w:t xml:space="preserve"> of Pharmacovigilance Rules, 2022</w:t>
      </w:r>
      <w:r w:rsidRPr="00DD1089">
        <w:rPr>
          <w:rFonts w:asciiTheme="majorBidi" w:hAnsiTheme="majorBidi" w:cstheme="majorBidi"/>
          <w:color w:val="000000" w:themeColor="text1"/>
          <w:sz w:val="24"/>
          <w:szCs w:val="24"/>
        </w:rPr>
        <w:t xml:space="preserve"> pe</w:t>
      </w:r>
      <w:r>
        <w:rPr>
          <w:rFonts w:asciiTheme="majorBidi" w:hAnsiTheme="majorBidi" w:cstheme="majorBidi"/>
          <w:color w:val="000000" w:themeColor="text1"/>
          <w:sz w:val="24"/>
          <w:szCs w:val="24"/>
        </w:rPr>
        <w:t>r</w:t>
      </w:r>
      <w:r w:rsidRPr="00DD1089">
        <w:rPr>
          <w:rFonts w:asciiTheme="majorBidi" w:hAnsiTheme="majorBidi" w:cstheme="majorBidi"/>
          <w:color w:val="000000" w:themeColor="text1"/>
          <w:sz w:val="24"/>
          <w:szCs w:val="24"/>
        </w:rPr>
        <w:t>form</w:t>
      </w:r>
      <w:r>
        <w:rPr>
          <w:rFonts w:asciiTheme="majorBidi" w:hAnsiTheme="majorBidi" w:cstheme="majorBidi"/>
          <w:color w:val="000000" w:themeColor="text1"/>
          <w:sz w:val="24"/>
          <w:szCs w:val="24"/>
        </w:rPr>
        <w:t>s</w:t>
      </w:r>
      <w:r w:rsidRPr="00DD1089">
        <w:rPr>
          <w:rFonts w:asciiTheme="majorBidi" w:hAnsiTheme="majorBidi" w:cstheme="majorBidi"/>
          <w:color w:val="000000" w:themeColor="text1"/>
          <w:sz w:val="24"/>
          <w:szCs w:val="24"/>
        </w:rPr>
        <w:t xml:space="preserve"> </w:t>
      </w:r>
      <w:r w:rsidRPr="00DD1089">
        <w:rPr>
          <w:iCs/>
          <w:sz w:val="24"/>
          <w:szCs w:val="24"/>
        </w:rPr>
        <w:t>all aspects of risk management such as signal detection, assessment, risk minimization and communication related to risks of adverse drug reaction</w:t>
      </w:r>
      <w:r>
        <w:rPr>
          <w:iCs/>
          <w:sz w:val="24"/>
          <w:szCs w:val="24"/>
        </w:rPr>
        <w:t xml:space="preserve">. </w:t>
      </w:r>
    </w:p>
    <w:p w14:paraId="70046ED8" w14:textId="045EBDB0" w:rsidR="00DD1089" w:rsidRDefault="00DD1089" w:rsidP="00DD1089">
      <w:pPr>
        <w:pStyle w:val="NormalWeb"/>
        <w:tabs>
          <w:tab w:val="left" w:pos="540"/>
        </w:tabs>
        <w:spacing w:before="120" w:beforeAutospacing="0" w:after="120" w:afterAutospacing="0" w:line="360" w:lineRule="auto"/>
        <w:ind w:left="547"/>
        <w:jc w:val="both"/>
        <w:rPr>
          <w:bCs/>
          <w:iCs/>
          <w:lang w:val="en-GB"/>
        </w:rPr>
      </w:pPr>
      <w:r>
        <w:rPr>
          <w:iCs/>
        </w:rPr>
        <w:t xml:space="preserve">As per clause (e) of sub-rule (1) of Rule 10 of </w:t>
      </w:r>
      <w:hyperlink r:id="rId83" w:history="1">
        <w:r w:rsidRPr="00AE37B5">
          <w:rPr>
            <w:rStyle w:val="Hyperlink"/>
            <w:iCs/>
          </w:rPr>
          <w:t>Pharmacovigilance Rules, 2022</w:t>
        </w:r>
      </w:hyperlink>
      <w:r>
        <w:rPr>
          <w:iCs/>
        </w:rPr>
        <w:t xml:space="preserve">, if it is found out </w:t>
      </w:r>
      <w:r w:rsidRPr="00420FD6">
        <w:rPr>
          <w:bCs/>
          <w:iCs/>
          <w:lang w:val="en-GB"/>
        </w:rPr>
        <w:t xml:space="preserve">on the basis of assessment and evaluation of </w:t>
      </w:r>
      <w:r>
        <w:rPr>
          <w:bCs/>
          <w:iCs/>
          <w:lang w:val="en-GB"/>
        </w:rPr>
        <w:t xml:space="preserve">the </w:t>
      </w:r>
      <w:r w:rsidRPr="00420FD6">
        <w:rPr>
          <w:bCs/>
          <w:iCs/>
          <w:lang w:val="en-GB"/>
        </w:rPr>
        <w:t xml:space="preserve">database or due to detection of new signals </w:t>
      </w:r>
      <w:r>
        <w:rPr>
          <w:bCs/>
          <w:iCs/>
          <w:lang w:val="en-GB"/>
        </w:rPr>
        <w:t xml:space="preserve">that the </w:t>
      </w:r>
      <w:r w:rsidRPr="00420FD6">
        <w:rPr>
          <w:bCs/>
          <w:iCs/>
          <w:lang w:val="en-GB"/>
        </w:rPr>
        <w:t xml:space="preserve">risks of therapeutic goods outweigh its benefits, </w:t>
      </w:r>
      <w:r w:rsidR="00B917FA">
        <w:rPr>
          <w:bCs/>
          <w:iCs/>
          <w:lang w:val="en-GB"/>
        </w:rPr>
        <w:t>the PRAEC may</w:t>
      </w:r>
      <w:r w:rsidRPr="00420FD6">
        <w:rPr>
          <w:bCs/>
          <w:iCs/>
          <w:lang w:val="en-GB"/>
        </w:rPr>
        <w:t xml:space="preserve"> recommend a regulatory or necessary remedial action to the concerned Board, Committee or Division for variation, suspension, revocation, market withdrawal, change in safety specification or any other action which it considers appropriate</w:t>
      </w:r>
      <w:r>
        <w:rPr>
          <w:bCs/>
          <w:iCs/>
          <w:lang w:val="en-GB"/>
        </w:rPr>
        <w:t xml:space="preserve">. </w:t>
      </w:r>
    </w:p>
    <w:p w14:paraId="49904C65" w14:textId="5C48C141" w:rsidR="00DD1089" w:rsidRPr="00DD1089" w:rsidRDefault="00DD1089" w:rsidP="00DD1089">
      <w:pPr>
        <w:pStyle w:val="NormalWeb"/>
        <w:tabs>
          <w:tab w:val="left" w:pos="540"/>
        </w:tabs>
        <w:spacing w:before="120" w:beforeAutospacing="0" w:after="120" w:afterAutospacing="0" w:line="360" w:lineRule="auto"/>
        <w:ind w:left="547"/>
        <w:jc w:val="both"/>
        <w:rPr>
          <w:iCs/>
        </w:rPr>
      </w:pPr>
      <w:r>
        <w:rPr>
          <w:bCs/>
          <w:iCs/>
          <w:lang w:val="en-GB"/>
        </w:rPr>
        <w:t xml:space="preserve">Similarly, </w:t>
      </w:r>
      <w:r>
        <w:rPr>
          <w:iCs/>
        </w:rPr>
        <w:t xml:space="preserve">as per clause (f) of sub-rule (1) of Rule 10 of </w:t>
      </w:r>
      <w:hyperlink r:id="rId84" w:history="1">
        <w:r w:rsidRPr="00E24FCA">
          <w:rPr>
            <w:rStyle w:val="Hyperlink"/>
            <w:iCs/>
          </w:rPr>
          <w:t>Pharmacovigilance Rules, 2022</w:t>
        </w:r>
      </w:hyperlink>
      <w:r>
        <w:rPr>
          <w:iCs/>
        </w:rPr>
        <w:t xml:space="preserve">, based on the evaluation of data </w:t>
      </w:r>
      <w:r w:rsidR="00B917FA">
        <w:rPr>
          <w:iCs/>
        </w:rPr>
        <w:t>the PRAEC</w:t>
      </w:r>
      <w:r>
        <w:rPr>
          <w:iCs/>
        </w:rPr>
        <w:t xml:space="preserve"> could recommend to the Registration Board to impose PASS</w:t>
      </w:r>
      <w:r w:rsidR="00B917FA">
        <w:rPr>
          <w:iCs/>
        </w:rPr>
        <w:t xml:space="preserve"> or PAES studies</w:t>
      </w:r>
      <w:r>
        <w:rPr>
          <w:iCs/>
        </w:rPr>
        <w:t xml:space="preserve"> on registration holders. </w:t>
      </w:r>
    </w:p>
    <w:p w14:paraId="1279BFD2" w14:textId="5A8345EB" w:rsidR="00DD1089" w:rsidRPr="00DD1089" w:rsidRDefault="00DD1089" w:rsidP="00DD1089">
      <w:pPr>
        <w:pStyle w:val="NormalWeb"/>
        <w:tabs>
          <w:tab w:val="left" w:pos="540"/>
        </w:tabs>
        <w:spacing w:before="120" w:beforeAutospacing="0" w:after="120" w:afterAutospacing="0" w:line="360" w:lineRule="auto"/>
        <w:ind w:left="547"/>
        <w:jc w:val="both"/>
        <w:rPr>
          <w:bCs/>
          <w:iCs/>
          <w:lang w:val="en-GB"/>
        </w:rPr>
      </w:pPr>
      <w:r>
        <w:rPr>
          <w:bCs/>
          <w:iCs/>
          <w:lang w:val="en-GB"/>
        </w:rPr>
        <w:t xml:space="preserve">Similarly, </w:t>
      </w:r>
      <w:r>
        <w:rPr>
          <w:iCs/>
        </w:rPr>
        <w:t xml:space="preserve">as per clause (g) of sub-rule (1) of Rule 10 of </w:t>
      </w:r>
      <w:hyperlink r:id="rId85" w:history="1">
        <w:r w:rsidRPr="00E24FCA">
          <w:rPr>
            <w:rStyle w:val="Hyperlink"/>
            <w:iCs/>
          </w:rPr>
          <w:t>Pharmacovigilance Rules, 2022</w:t>
        </w:r>
      </w:hyperlink>
      <w:r>
        <w:rPr>
          <w:iCs/>
        </w:rPr>
        <w:t xml:space="preserve">, the </w:t>
      </w:r>
      <w:r w:rsidRPr="00420FD6">
        <w:rPr>
          <w:bCs/>
          <w:iCs/>
          <w:lang w:val="en-GB"/>
        </w:rPr>
        <w:t>PRAEC may recommend</w:t>
      </w:r>
      <w:r>
        <w:rPr>
          <w:bCs/>
          <w:iCs/>
          <w:lang w:val="en-GB"/>
        </w:rPr>
        <w:t xml:space="preserve"> a</w:t>
      </w:r>
      <w:r w:rsidRPr="00420FD6">
        <w:rPr>
          <w:bCs/>
          <w:iCs/>
          <w:lang w:val="en-GB"/>
        </w:rPr>
        <w:t xml:space="preserve"> regulatory action to the </w:t>
      </w:r>
      <w:r w:rsidR="00C4623C" w:rsidRPr="00420FD6">
        <w:rPr>
          <w:bCs/>
          <w:iCs/>
          <w:lang w:val="en-GB"/>
        </w:rPr>
        <w:t>Concerned Board</w:t>
      </w:r>
      <w:r w:rsidRPr="00420FD6">
        <w:rPr>
          <w:bCs/>
          <w:iCs/>
          <w:lang w:val="en-GB"/>
        </w:rPr>
        <w:t xml:space="preserve">, </w:t>
      </w:r>
      <w:r w:rsidR="00C4623C" w:rsidRPr="00420FD6">
        <w:rPr>
          <w:bCs/>
          <w:iCs/>
          <w:lang w:val="en-GB"/>
        </w:rPr>
        <w:t xml:space="preserve">Committee </w:t>
      </w:r>
      <w:r w:rsidRPr="00420FD6">
        <w:rPr>
          <w:bCs/>
          <w:iCs/>
          <w:lang w:val="en-GB"/>
        </w:rPr>
        <w:t xml:space="preserve">or </w:t>
      </w:r>
      <w:r w:rsidR="00C4623C" w:rsidRPr="00420FD6">
        <w:rPr>
          <w:bCs/>
          <w:iCs/>
          <w:lang w:val="en-GB"/>
        </w:rPr>
        <w:t>Division</w:t>
      </w:r>
      <w:r w:rsidRPr="00420FD6">
        <w:rPr>
          <w:bCs/>
          <w:iCs/>
          <w:lang w:val="en-GB"/>
        </w:rPr>
        <w:t xml:space="preserve">, which </w:t>
      </w:r>
      <w:r>
        <w:rPr>
          <w:bCs/>
          <w:iCs/>
          <w:lang w:val="en-GB"/>
        </w:rPr>
        <w:t>may include suspension of licenc</w:t>
      </w:r>
      <w:r w:rsidRPr="00420FD6">
        <w:rPr>
          <w:bCs/>
          <w:iCs/>
          <w:lang w:val="en-GB"/>
        </w:rPr>
        <w:t xml:space="preserve">e, revocation and cancellation of </w:t>
      </w:r>
      <w:r>
        <w:rPr>
          <w:bCs/>
          <w:iCs/>
          <w:lang w:val="en-GB"/>
        </w:rPr>
        <w:t>registration, market withdrawal,</w:t>
      </w:r>
      <w:r w:rsidRPr="00420FD6">
        <w:rPr>
          <w:bCs/>
          <w:iCs/>
          <w:lang w:val="en-GB"/>
        </w:rPr>
        <w:t xml:space="preserve"> change in label or safety specification</w:t>
      </w:r>
      <w:r>
        <w:rPr>
          <w:bCs/>
          <w:iCs/>
          <w:lang w:val="en-GB"/>
        </w:rPr>
        <w:t xml:space="preserve"> or any other action which it considers appropriate based on</w:t>
      </w:r>
      <w:r w:rsidRPr="00420FD6">
        <w:rPr>
          <w:bCs/>
          <w:iCs/>
          <w:lang w:val="en-GB"/>
        </w:rPr>
        <w:t xml:space="preserve"> assessment and evaluation of PBRER, RMP and final report </w:t>
      </w:r>
      <w:r>
        <w:rPr>
          <w:bCs/>
          <w:iCs/>
          <w:lang w:val="en-GB"/>
        </w:rPr>
        <w:t xml:space="preserve">of </w:t>
      </w:r>
      <w:r w:rsidRPr="00420FD6">
        <w:rPr>
          <w:bCs/>
          <w:iCs/>
          <w:lang w:val="en-GB"/>
        </w:rPr>
        <w:t>PASS</w:t>
      </w:r>
      <w:r>
        <w:rPr>
          <w:bCs/>
          <w:iCs/>
          <w:lang w:val="en-GB"/>
        </w:rPr>
        <w:t xml:space="preserve"> or </w:t>
      </w:r>
      <w:proofErr w:type="spellStart"/>
      <w:r w:rsidRPr="00420FD6">
        <w:rPr>
          <w:bCs/>
          <w:iCs/>
          <w:lang w:val="en-GB"/>
        </w:rPr>
        <w:t>or</w:t>
      </w:r>
      <w:proofErr w:type="spellEnd"/>
      <w:r w:rsidRPr="00420FD6">
        <w:rPr>
          <w:bCs/>
          <w:iCs/>
          <w:lang w:val="en-GB"/>
        </w:rPr>
        <w:t xml:space="preserve"> report of </w:t>
      </w:r>
      <w:r>
        <w:rPr>
          <w:bCs/>
          <w:iCs/>
          <w:lang w:val="en-GB"/>
        </w:rPr>
        <w:t xml:space="preserve">the </w:t>
      </w:r>
      <w:r w:rsidRPr="00420FD6">
        <w:rPr>
          <w:bCs/>
          <w:iCs/>
          <w:lang w:val="en-GB"/>
        </w:rPr>
        <w:t>rapporteur</w:t>
      </w:r>
      <w:r>
        <w:rPr>
          <w:bCs/>
          <w:iCs/>
          <w:lang w:val="en-GB"/>
        </w:rPr>
        <w:t>.</w:t>
      </w:r>
    </w:p>
    <w:p w14:paraId="7B167396" w14:textId="15C6705D" w:rsidR="006C4F1F" w:rsidRPr="00805ED6" w:rsidRDefault="00805ED6" w:rsidP="00045270">
      <w:pPr>
        <w:spacing w:before="120" w:after="120" w:line="360" w:lineRule="auto"/>
        <w:rPr>
          <w:b/>
          <w:bCs/>
          <w:sz w:val="28"/>
          <w:szCs w:val="28"/>
          <w:u w:val="single"/>
        </w:rPr>
      </w:pPr>
      <w:bookmarkStart w:id="107" w:name="_Toc97895949"/>
      <w:r w:rsidRPr="00805ED6">
        <w:rPr>
          <w:b/>
          <w:bCs/>
          <w:sz w:val="28"/>
          <w:szCs w:val="28"/>
        </w:rPr>
        <w:t>8.</w:t>
      </w:r>
      <w:r w:rsidR="00C4623C">
        <w:rPr>
          <w:b/>
          <w:bCs/>
          <w:sz w:val="28"/>
          <w:szCs w:val="28"/>
        </w:rPr>
        <w:t>7</w:t>
      </w:r>
      <w:r w:rsidRPr="00805ED6">
        <w:rPr>
          <w:b/>
          <w:bCs/>
          <w:sz w:val="28"/>
          <w:szCs w:val="28"/>
        </w:rPr>
        <w:t xml:space="preserve"> </w:t>
      </w:r>
      <w:r w:rsidR="006C4F1F" w:rsidRPr="00805ED6">
        <w:rPr>
          <w:b/>
          <w:bCs/>
          <w:sz w:val="28"/>
          <w:szCs w:val="28"/>
          <w:u w:val="single"/>
        </w:rPr>
        <w:t xml:space="preserve">Risk </w:t>
      </w:r>
      <w:r w:rsidR="00FF1664" w:rsidRPr="00805ED6">
        <w:rPr>
          <w:b/>
          <w:bCs/>
          <w:sz w:val="28"/>
          <w:szCs w:val="28"/>
          <w:u w:val="single"/>
        </w:rPr>
        <w:t>minimization measures</w:t>
      </w:r>
      <w:bookmarkEnd w:id="107"/>
    </w:p>
    <w:p w14:paraId="275D291F" w14:textId="77777777" w:rsidR="006C4F1F" w:rsidRPr="00B0455C" w:rsidRDefault="006C4F1F" w:rsidP="00FF1664">
      <w:pPr>
        <w:spacing w:before="120" w:after="120" w:line="360" w:lineRule="auto"/>
        <w:ind w:left="547"/>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Risk minimisation measures are interventions intended to prevent or reduce the occurrence of adverse reactions associated with the exposure to a drug or therapeutic good, or to reduce their severity or impact on the patient. Planning and implementing risk minimisation measures and assessing their effectiveness are key elements of risk management.</w:t>
      </w:r>
    </w:p>
    <w:p w14:paraId="4B26BF5D" w14:textId="5356FB44" w:rsidR="006C4F1F" w:rsidRPr="00B0455C" w:rsidRDefault="006C4F1F" w:rsidP="00FF1664">
      <w:pPr>
        <w:spacing w:before="120" w:after="120" w:line="360" w:lineRule="auto"/>
        <w:ind w:left="547"/>
        <w:jc w:val="both"/>
        <w:rPr>
          <w:rFonts w:asciiTheme="majorBidi" w:hAnsiTheme="majorBidi" w:cstheme="majorBidi"/>
          <w:color w:val="000000" w:themeColor="text1"/>
          <w:sz w:val="24"/>
          <w:szCs w:val="24"/>
        </w:rPr>
      </w:pPr>
      <w:r w:rsidRPr="00B0455C">
        <w:rPr>
          <w:rFonts w:asciiTheme="majorBidi" w:hAnsiTheme="majorBidi" w:cstheme="majorBidi"/>
          <w:color w:val="000000" w:themeColor="text1"/>
          <w:sz w:val="24"/>
          <w:szCs w:val="24"/>
        </w:rPr>
        <w:t xml:space="preserve">Risk minimisation measures aim to optimise the safe and effective use of a therapeutic good throughout its life cycle. The risk-benefit balance of a therapeutic good can be improved by reducing the burden of adverse reactions or by optimising benefit, through targeted patient selection and/or exclusion and through treatment management (e.g. specific dosing regimen, relevant testing, and patient follow-up). Risk minimisation measures should therefore guide </w:t>
      </w:r>
      <w:r w:rsidR="00892811">
        <w:rPr>
          <w:rFonts w:asciiTheme="majorBidi" w:hAnsiTheme="majorBidi" w:cstheme="majorBidi"/>
          <w:color w:val="000000" w:themeColor="text1"/>
          <w:sz w:val="24"/>
          <w:szCs w:val="24"/>
        </w:rPr>
        <w:t xml:space="preserve">the </w:t>
      </w:r>
      <w:r w:rsidRPr="00B0455C">
        <w:rPr>
          <w:rFonts w:asciiTheme="majorBidi" w:hAnsiTheme="majorBidi" w:cstheme="majorBidi"/>
          <w:color w:val="000000" w:themeColor="text1"/>
          <w:sz w:val="24"/>
          <w:szCs w:val="24"/>
        </w:rPr>
        <w:t>optimal use of therapeutic good</w:t>
      </w:r>
      <w:r w:rsidR="00892811">
        <w:rPr>
          <w:rFonts w:asciiTheme="majorBidi" w:hAnsiTheme="majorBidi" w:cstheme="majorBidi"/>
          <w:color w:val="000000" w:themeColor="text1"/>
          <w:sz w:val="24"/>
          <w:szCs w:val="24"/>
        </w:rPr>
        <w:t>s</w:t>
      </w:r>
      <w:r w:rsidRPr="00B0455C">
        <w:rPr>
          <w:rFonts w:asciiTheme="majorBidi" w:hAnsiTheme="majorBidi" w:cstheme="majorBidi"/>
          <w:color w:val="000000" w:themeColor="text1"/>
          <w:sz w:val="24"/>
          <w:szCs w:val="24"/>
        </w:rPr>
        <w:t xml:space="preserve"> in clinical practice with the goal of supporting the provision of the right therapeutic good, at the right dose, at the right time, to the right patient </w:t>
      </w:r>
      <w:r w:rsidRPr="00B0455C">
        <w:rPr>
          <w:rFonts w:asciiTheme="majorBidi" w:hAnsiTheme="majorBidi" w:cstheme="majorBidi"/>
          <w:color w:val="000000" w:themeColor="text1"/>
          <w:sz w:val="24"/>
          <w:szCs w:val="24"/>
        </w:rPr>
        <w:lastRenderedPageBreak/>
        <w:t>and with the right information and monitoring.</w:t>
      </w:r>
    </w:p>
    <w:p w14:paraId="28883B76" w14:textId="0AC0C554" w:rsidR="006C4F1F" w:rsidRPr="00045270" w:rsidRDefault="00045270" w:rsidP="00045270">
      <w:pPr>
        <w:spacing w:before="120" w:after="120" w:line="360" w:lineRule="auto"/>
        <w:rPr>
          <w:b/>
          <w:bCs/>
          <w:sz w:val="28"/>
          <w:szCs w:val="28"/>
        </w:rPr>
      </w:pPr>
      <w:bookmarkStart w:id="108" w:name="_Toc97895950"/>
      <w:r>
        <w:rPr>
          <w:b/>
          <w:bCs/>
          <w:sz w:val="28"/>
          <w:szCs w:val="28"/>
        </w:rPr>
        <w:t>8</w:t>
      </w:r>
      <w:r w:rsidR="00C4623C">
        <w:rPr>
          <w:b/>
          <w:bCs/>
          <w:sz w:val="28"/>
          <w:szCs w:val="28"/>
        </w:rPr>
        <w:t>.8</w:t>
      </w:r>
      <w:r>
        <w:rPr>
          <w:b/>
          <w:bCs/>
          <w:sz w:val="28"/>
          <w:szCs w:val="28"/>
        </w:rPr>
        <w:t xml:space="preserve"> </w:t>
      </w:r>
      <w:r w:rsidR="00FF1664">
        <w:rPr>
          <w:b/>
          <w:bCs/>
          <w:sz w:val="28"/>
          <w:szCs w:val="28"/>
          <w:u w:val="single"/>
        </w:rPr>
        <w:t xml:space="preserve">Routine and additional </w:t>
      </w:r>
      <w:r w:rsidR="00FF1664" w:rsidRPr="00045270">
        <w:rPr>
          <w:b/>
          <w:bCs/>
          <w:sz w:val="28"/>
          <w:szCs w:val="28"/>
          <w:u w:val="single"/>
        </w:rPr>
        <w:t>risk minimization measures</w:t>
      </w:r>
      <w:r w:rsidR="006C4F1F" w:rsidRPr="00045270">
        <w:rPr>
          <w:b/>
          <w:bCs/>
          <w:sz w:val="28"/>
          <w:szCs w:val="28"/>
          <w:u w:val="single"/>
        </w:rPr>
        <w:t>.</w:t>
      </w:r>
      <w:bookmarkEnd w:id="108"/>
    </w:p>
    <w:p w14:paraId="3F3FC223" w14:textId="77777777" w:rsidR="000178CD" w:rsidRPr="00F41F0E" w:rsidRDefault="006C4F1F" w:rsidP="000449B2">
      <w:pPr>
        <w:spacing w:before="120" w:after="120" w:line="360" w:lineRule="auto"/>
        <w:ind w:left="540"/>
        <w:jc w:val="both"/>
        <w:rPr>
          <w:rFonts w:asciiTheme="majorBidi" w:hAnsiTheme="majorBidi" w:cstheme="majorBidi"/>
          <w:sz w:val="24"/>
          <w:szCs w:val="24"/>
        </w:rPr>
      </w:pPr>
      <w:r w:rsidRPr="00F41F0E">
        <w:rPr>
          <w:rFonts w:asciiTheme="majorBidi" w:hAnsiTheme="majorBidi" w:cstheme="majorBidi"/>
          <w:sz w:val="24"/>
          <w:szCs w:val="24"/>
        </w:rPr>
        <w:t xml:space="preserve">Risk minimisation measures may consist of routine risk minimisation or additional risk minimisation measures. </w:t>
      </w:r>
    </w:p>
    <w:p w14:paraId="0D5DEE32" w14:textId="1A1F5655" w:rsidR="006C4F1F" w:rsidRPr="00F41F0E" w:rsidRDefault="006C4F1F" w:rsidP="000449B2">
      <w:pPr>
        <w:spacing w:before="120" w:after="120" w:line="360" w:lineRule="auto"/>
        <w:ind w:left="540"/>
        <w:jc w:val="both"/>
        <w:rPr>
          <w:rFonts w:asciiTheme="majorBidi" w:hAnsiTheme="majorBidi" w:cstheme="majorBidi"/>
          <w:sz w:val="24"/>
          <w:szCs w:val="24"/>
        </w:rPr>
      </w:pPr>
      <w:r w:rsidRPr="00F41F0E">
        <w:rPr>
          <w:rFonts w:asciiTheme="majorBidi" w:hAnsiTheme="majorBidi" w:cstheme="majorBidi"/>
          <w:sz w:val="24"/>
          <w:szCs w:val="24"/>
        </w:rPr>
        <w:t>Routine risk minimisation applies to all drugs and involves the use of the following tools</w:t>
      </w:r>
    </w:p>
    <w:p w14:paraId="67879CD9" w14:textId="2B0A503A" w:rsidR="006C4F1F" w:rsidRPr="00F41F0E" w:rsidRDefault="00B87A0C" w:rsidP="00D95584">
      <w:pPr>
        <w:pStyle w:val="ListParagraph"/>
        <w:numPr>
          <w:ilvl w:val="0"/>
          <w:numId w:val="57"/>
        </w:numPr>
        <w:spacing w:before="120" w:after="120" w:line="360" w:lineRule="auto"/>
        <w:ind w:left="1980"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 xml:space="preserve">The </w:t>
      </w:r>
      <w:r w:rsidR="006C4F1F" w:rsidRPr="00F41F0E">
        <w:rPr>
          <w:rFonts w:asciiTheme="majorBidi" w:hAnsiTheme="majorBidi" w:cstheme="majorBidi"/>
          <w:sz w:val="24"/>
          <w:szCs w:val="24"/>
        </w:rPr>
        <w:t xml:space="preserve">summary of product characteristics/ prescribing information; </w:t>
      </w:r>
    </w:p>
    <w:p w14:paraId="589922DF" w14:textId="3AC4C40B" w:rsidR="006C4F1F" w:rsidRPr="00F41F0E" w:rsidRDefault="00B87A0C" w:rsidP="00D95584">
      <w:pPr>
        <w:pStyle w:val="ListParagraph"/>
        <w:numPr>
          <w:ilvl w:val="0"/>
          <w:numId w:val="57"/>
        </w:numPr>
        <w:spacing w:before="120" w:after="120" w:line="360" w:lineRule="auto"/>
        <w:ind w:left="1980"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 xml:space="preserve">The </w:t>
      </w:r>
      <w:r w:rsidR="006C4F1F" w:rsidRPr="00F41F0E">
        <w:rPr>
          <w:rFonts w:asciiTheme="majorBidi" w:hAnsiTheme="majorBidi" w:cstheme="majorBidi"/>
          <w:sz w:val="24"/>
          <w:szCs w:val="24"/>
        </w:rPr>
        <w:t>labelling (e.g. on inner and outer carton</w:t>
      </w:r>
      <w:r w:rsidRPr="00F41F0E">
        <w:rPr>
          <w:rFonts w:asciiTheme="majorBidi" w:hAnsiTheme="majorBidi" w:cstheme="majorBidi"/>
          <w:sz w:val="24"/>
          <w:szCs w:val="24"/>
        </w:rPr>
        <w:t>s</w:t>
      </w:r>
      <w:r w:rsidR="006C4F1F" w:rsidRPr="00F41F0E">
        <w:rPr>
          <w:rFonts w:asciiTheme="majorBidi" w:hAnsiTheme="majorBidi" w:cstheme="majorBidi"/>
          <w:sz w:val="24"/>
          <w:szCs w:val="24"/>
        </w:rPr>
        <w:t>);</w:t>
      </w:r>
    </w:p>
    <w:p w14:paraId="05DBB063" w14:textId="3BB0A816" w:rsidR="006C4F1F" w:rsidRPr="00F41F0E" w:rsidRDefault="00B87A0C" w:rsidP="00D95584">
      <w:pPr>
        <w:pStyle w:val="ListParagraph"/>
        <w:numPr>
          <w:ilvl w:val="0"/>
          <w:numId w:val="57"/>
        </w:numPr>
        <w:spacing w:before="120" w:after="120" w:line="360" w:lineRule="auto"/>
        <w:ind w:left="1980"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 xml:space="preserve">The </w:t>
      </w:r>
      <w:r w:rsidR="006C4F1F" w:rsidRPr="00F41F0E">
        <w:rPr>
          <w:rFonts w:asciiTheme="majorBidi" w:hAnsiTheme="majorBidi" w:cstheme="majorBidi"/>
          <w:sz w:val="24"/>
          <w:szCs w:val="24"/>
        </w:rPr>
        <w:t>package leaflet;</w:t>
      </w:r>
    </w:p>
    <w:p w14:paraId="580A849B" w14:textId="7794926D" w:rsidR="006C4F1F" w:rsidRPr="00F41F0E" w:rsidRDefault="00B87A0C" w:rsidP="00D95584">
      <w:pPr>
        <w:pStyle w:val="ListParagraph"/>
        <w:numPr>
          <w:ilvl w:val="0"/>
          <w:numId w:val="57"/>
        </w:numPr>
        <w:spacing w:before="120" w:after="120" w:line="360" w:lineRule="auto"/>
        <w:ind w:left="1980"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 xml:space="preserve">The </w:t>
      </w:r>
      <w:r w:rsidR="006C4F1F" w:rsidRPr="00F41F0E">
        <w:rPr>
          <w:rFonts w:asciiTheme="majorBidi" w:hAnsiTheme="majorBidi" w:cstheme="majorBidi"/>
          <w:sz w:val="24"/>
          <w:szCs w:val="24"/>
        </w:rPr>
        <w:t>pack size(s);</w:t>
      </w:r>
    </w:p>
    <w:p w14:paraId="268E0274" w14:textId="45EB8C4A" w:rsidR="006C4F1F" w:rsidRPr="00F41F0E" w:rsidRDefault="00B87A0C" w:rsidP="00D95584">
      <w:pPr>
        <w:pStyle w:val="ListParagraph"/>
        <w:numPr>
          <w:ilvl w:val="0"/>
          <w:numId w:val="57"/>
        </w:numPr>
        <w:spacing w:before="120" w:after="120" w:line="360" w:lineRule="auto"/>
        <w:ind w:left="1980"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 xml:space="preserve">The </w:t>
      </w:r>
      <w:r w:rsidR="006C4F1F" w:rsidRPr="00F41F0E">
        <w:rPr>
          <w:rFonts w:asciiTheme="majorBidi" w:hAnsiTheme="majorBidi" w:cstheme="majorBidi"/>
          <w:sz w:val="24"/>
          <w:szCs w:val="24"/>
        </w:rPr>
        <w:t>legal status of the product.</w:t>
      </w:r>
    </w:p>
    <w:p w14:paraId="7871BA70" w14:textId="5936ECCE" w:rsidR="00D95584" w:rsidRPr="00F41F0E" w:rsidRDefault="00D95584" w:rsidP="00D95584">
      <w:pPr>
        <w:pStyle w:val="ListParagraph"/>
        <w:numPr>
          <w:ilvl w:val="3"/>
          <w:numId w:val="57"/>
        </w:numPr>
        <w:spacing w:before="120" w:after="120" w:line="360" w:lineRule="auto"/>
        <w:contextualSpacing w:val="0"/>
        <w:jc w:val="both"/>
        <w:rPr>
          <w:rFonts w:asciiTheme="majorBidi" w:hAnsiTheme="majorBidi" w:cstheme="majorBidi"/>
          <w:sz w:val="24"/>
          <w:szCs w:val="24"/>
        </w:rPr>
      </w:pPr>
      <w:r w:rsidRPr="00F41F0E">
        <w:rPr>
          <w:rFonts w:asciiTheme="majorBidi" w:hAnsiTheme="majorBidi" w:cstheme="majorBidi"/>
          <w:sz w:val="24"/>
          <w:szCs w:val="24"/>
        </w:rPr>
        <w:t>Restricted medical prescription</w:t>
      </w:r>
    </w:p>
    <w:p w14:paraId="04964454" w14:textId="26CC882D" w:rsidR="00D95584" w:rsidRPr="00F41F0E" w:rsidRDefault="00D95584" w:rsidP="00D95584">
      <w:pPr>
        <w:pStyle w:val="ListParagraph"/>
        <w:numPr>
          <w:ilvl w:val="3"/>
          <w:numId w:val="57"/>
        </w:numPr>
        <w:spacing w:before="120" w:after="120" w:line="360" w:lineRule="auto"/>
        <w:contextualSpacing w:val="0"/>
        <w:jc w:val="both"/>
        <w:rPr>
          <w:rFonts w:asciiTheme="majorBidi" w:hAnsiTheme="majorBidi" w:cstheme="majorBidi"/>
          <w:sz w:val="24"/>
          <w:szCs w:val="24"/>
        </w:rPr>
      </w:pPr>
      <w:r w:rsidRPr="00F41F0E">
        <w:rPr>
          <w:rFonts w:asciiTheme="majorBidi" w:hAnsiTheme="majorBidi" w:cstheme="majorBidi"/>
          <w:sz w:val="24"/>
          <w:szCs w:val="24"/>
        </w:rPr>
        <w:t>Special medical prescription</w:t>
      </w:r>
    </w:p>
    <w:p w14:paraId="6F1802C8" w14:textId="77777777" w:rsidR="00D95584" w:rsidRPr="00F41F0E" w:rsidRDefault="00D95584" w:rsidP="00D95584">
      <w:pPr>
        <w:spacing w:before="120" w:after="120" w:line="360" w:lineRule="auto"/>
        <w:ind w:left="540"/>
        <w:jc w:val="both"/>
        <w:rPr>
          <w:rFonts w:asciiTheme="majorBidi" w:hAnsiTheme="majorBidi" w:cstheme="majorBidi"/>
          <w:sz w:val="24"/>
          <w:szCs w:val="24"/>
        </w:rPr>
      </w:pPr>
      <w:r w:rsidRPr="00F41F0E">
        <w:rPr>
          <w:rFonts w:asciiTheme="majorBidi" w:hAnsiTheme="majorBidi" w:cstheme="majorBidi"/>
          <w:sz w:val="24"/>
          <w:szCs w:val="24"/>
        </w:rPr>
        <w:t>Safety concerns of a medicinal product are in normal conditions adequately addressed by routine risk minimisation measures. In some exceptional cases, however, routine risk minimisation measures will not be sufficient for some risks and therefore additional risk minimisation measures will be necessary to manage the risk and/or improve the risk-benefit balance of a medicinal product. When additional risk minimisation activities are needed, safety concerns are to be prioritised in terms of frequency, seriousness, severity, impact on public health and preventability. Likewise, careful consideration is then to be given to whether the goal/aim can be reached with routine minimisation activities, and, if not considered sufficient, which additional minimisation measure(s) is (are) will be the most appropriate. Additional risk minimisation activities/measures should only be introduced when they are deemed to be essential for the safe and effective use of the medicinal product and should be developed and provided by suitably qualified people.</w:t>
      </w:r>
    </w:p>
    <w:p w14:paraId="072FB2F0" w14:textId="77777777" w:rsidR="00D95584" w:rsidRPr="00F41F0E" w:rsidRDefault="00D95584" w:rsidP="00D95584">
      <w:pPr>
        <w:spacing w:before="120" w:after="120" w:line="360" w:lineRule="auto"/>
        <w:ind w:left="540"/>
        <w:jc w:val="both"/>
        <w:rPr>
          <w:rFonts w:asciiTheme="majorBidi" w:hAnsiTheme="majorBidi" w:cstheme="majorBidi"/>
          <w:sz w:val="24"/>
          <w:szCs w:val="24"/>
        </w:rPr>
      </w:pPr>
      <w:r w:rsidRPr="00F41F0E">
        <w:rPr>
          <w:rFonts w:asciiTheme="majorBidi" w:hAnsiTheme="majorBidi" w:cstheme="majorBidi"/>
          <w:sz w:val="24"/>
          <w:szCs w:val="24"/>
        </w:rPr>
        <w:t xml:space="preserve">Additional risk minimisation measures that may be considered in addition to the routine measures include the following: </w:t>
      </w:r>
    </w:p>
    <w:p w14:paraId="233D101B" w14:textId="77777777" w:rsidR="00D95584" w:rsidRPr="00F41F0E" w:rsidRDefault="00D95584" w:rsidP="00D95584">
      <w:pPr>
        <w:pStyle w:val="ListParagraph"/>
        <w:numPr>
          <w:ilvl w:val="0"/>
          <w:numId w:val="84"/>
        </w:numPr>
        <w:spacing w:before="120" w:after="120" w:line="360" w:lineRule="auto"/>
        <w:ind w:left="1980"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Educational programmes</w:t>
      </w:r>
    </w:p>
    <w:p w14:paraId="7B0F581A" w14:textId="77777777" w:rsidR="00D95584" w:rsidRPr="00F41F0E" w:rsidRDefault="00D95584" w:rsidP="00D95584">
      <w:pPr>
        <w:pStyle w:val="ListParagraph"/>
        <w:numPr>
          <w:ilvl w:val="3"/>
          <w:numId w:val="84"/>
        </w:numPr>
        <w:spacing w:before="120" w:after="120" w:line="360" w:lineRule="auto"/>
        <w:ind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For healthcare professionals</w:t>
      </w:r>
    </w:p>
    <w:p w14:paraId="5DE9E44F" w14:textId="0FD5A946" w:rsidR="00D95584" w:rsidRPr="00F41F0E" w:rsidRDefault="00D95584" w:rsidP="00D95584">
      <w:pPr>
        <w:pStyle w:val="ListParagraph"/>
        <w:numPr>
          <w:ilvl w:val="3"/>
          <w:numId w:val="84"/>
        </w:numPr>
        <w:spacing w:before="120" w:after="120" w:line="360" w:lineRule="auto"/>
        <w:ind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lastRenderedPageBreak/>
        <w:t>For patients;</w:t>
      </w:r>
    </w:p>
    <w:p w14:paraId="4BF05377" w14:textId="402C15BD" w:rsidR="00D95584" w:rsidRPr="00F41F0E" w:rsidRDefault="00D95584" w:rsidP="00D95584">
      <w:pPr>
        <w:pStyle w:val="ListParagraph"/>
        <w:numPr>
          <w:ilvl w:val="3"/>
          <w:numId w:val="84"/>
        </w:numPr>
        <w:spacing w:before="120" w:after="120" w:line="360" w:lineRule="auto"/>
        <w:ind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 xml:space="preserve">Patient alert cards; </w:t>
      </w:r>
    </w:p>
    <w:p w14:paraId="5DBED17F" w14:textId="77777777" w:rsidR="00D95584" w:rsidRPr="00F41F0E" w:rsidRDefault="00D95584" w:rsidP="00D95584">
      <w:pPr>
        <w:pStyle w:val="ListParagraph"/>
        <w:numPr>
          <w:ilvl w:val="0"/>
          <w:numId w:val="84"/>
        </w:numPr>
        <w:spacing w:before="120" w:after="120" w:line="360" w:lineRule="auto"/>
        <w:ind w:left="1980" w:hanging="540"/>
        <w:contextualSpacing w:val="0"/>
        <w:jc w:val="both"/>
        <w:rPr>
          <w:rFonts w:asciiTheme="majorBidi" w:hAnsiTheme="majorBidi" w:cstheme="majorBidi"/>
          <w:sz w:val="24"/>
          <w:szCs w:val="24"/>
        </w:rPr>
      </w:pPr>
      <w:r w:rsidRPr="00F41F0E">
        <w:rPr>
          <w:rFonts w:asciiTheme="majorBidi" w:hAnsiTheme="majorBidi" w:cstheme="majorBidi"/>
          <w:sz w:val="24"/>
          <w:szCs w:val="24"/>
        </w:rPr>
        <w:t>Controlled access programmes; and</w:t>
      </w:r>
    </w:p>
    <w:p w14:paraId="7C77EA19" w14:textId="764ABC56" w:rsidR="00D95584" w:rsidRPr="00F41F0E" w:rsidRDefault="00D95584" w:rsidP="00D95584">
      <w:pPr>
        <w:pStyle w:val="ListParagraph"/>
        <w:numPr>
          <w:ilvl w:val="0"/>
          <w:numId w:val="84"/>
        </w:numPr>
        <w:spacing w:before="120" w:after="120" w:line="360" w:lineRule="auto"/>
        <w:ind w:left="1980" w:hanging="540"/>
        <w:contextualSpacing w:val="0"/>
        <w:jc w:val="both"/>
        <w:rPr>
          <w:rFonts w:asciiTheme="majorBidi" w:hAnsiTheme="majorBidi" w:cstheme="majorBidi"/>
          <w:color w:val="000000" w:themeColor="text1"/>
          <w:sz w:val="24"/>
          <w:szCs w:val="24"/>
        </w:rPr>
      </w:pPr>
      <w:r w:rsidRPr="00F41F0E">
        <w:rPr>
          <w:rFonts w:asciiTheme="majorBidi" w:hAnsiTheme="majorBidi" w:cstheme="majorBidi"/>
          <w:sz w:val="24"/>
          <w:szCs w:val="24"/>
        </w:rPr>
        <w:t>Other risk minimisation measures</w:t>
      </w:r>
    </w:p>
    <w:p w14:paraId="2C2836CA" w14:textId="27A9E860" w:rsidR="00D95584" w:rsidRPr="00F41F0E" w:rsidRDefault="00D95584" w:rsidP="00D95584">
      <w:pPr>
        <w:pStyle w:val="ListParagraph"/>
        <w:numPr>
          <w:ilvl w:val="3"/>
          <w:numId w:val="84"/>
        </w:numPr>
        <w:spacing w:before="120" w:after="120" w:line="360" w:lineRule="auto"/>
        <w:ind w:hanging="540"/>
        <w:contextualSpacing w:val="0"/>
        <w:jc w:val="both"/>
        <w:rPr>
          <w:rFonts w:asciiTheme="majorBidi" w:hAnsiTheme="majorBidi" w:cstheme="majorBidi"/>
          <w:color w:val="000000" w:themeColor="text1"/>
          <w:sz w:val="24"/>
          <w:szCs w:val="24"/>
        </w:rPr>
      </w:pPr>
      <w:r w:rsidRPr="00F41F0E">
        <w:rPr>
          <w:rFonts w:asciiTheme="majorBidi" w:hAnsiTheme="majorBidi" w:cstheme="majorBidi"/>
          <w:color w:val="000000" w:themeColor="text1"/>
          <w:sz w:val="24"/>
          <w:szCs w:val="24"/>
        </w:rPr>
        <w:t>Controlled distribution system</w:t>
      </w:r>
    </w:p>
    <w:p w14:paraId="3C446BC3" w14:textId="0BE68B8E" w:rsidR="00D95584" w:rsidRPr="00F41F0E" w:rsidRDefault="00D95584" w:rsidP="00D95584">
      <w:pPr>
        <w:pStyle w:val="ListParagraph"/>
        <w:numPr>
          <w:ilvl w:val="3"/>
          <w:numId w:val="84"/>
        </w:numPr>
        <w:spacing w:before="120" w:after="120" w:line="360" w:lineRule="auto"/>
        <w:ind w:hanging="540"/>
        <w:contextualSpacing w:val="0"/>
        <w:jc w:val="both"/>
        <w:rPr>
          <w:rFonts w:asciiTheme="majorBidi" w:hAnsiTheme="majorBidi" w:cstheme="majorBidi"/>
          <w:color w:val="000000" w:themeColor="text1"/>
          <w:sz w:val="24"/>
          <w:szCs w:val="24"/>
        </w:rPr>
      </w:pPr>
      <w:r w:rsidRPr="00F41F0E">
        <w:rPr>
          <w:rFonts w:asciiTheme="majorBidi" w:hAnsiTheme="majorBidi" w:cstheme="majorBidi"/>
          <w:color w:val="000000" w:themeColor="text1"/>
          <w:sz w:val="24"/>
          <w:szCs w:val="24"/>
        </w:rPr>
        <w:t>Pregnancy prevention programme</w:t>
      </w:r>
    </w:p>
    <w:p w14:paraId="26846E99" w14:textId="5BD0EA2A" w:rsidR="00D95584" w:rsidRPr="00F41F0E" w:rsidRDefault="00D95584" w:rsidP="00D95584">
      <w:pPr>
        <w:pStyle w:val="ListParagraph"/>
        <w:numPr>
          <w:ilvl w:val="3"/>
          <w:numId w:val="84"/>
        </w:numPr>
        <w:spacing w:before="120" w:after="120" w:line="360" w:lineRule="auto"/>
        <w:ind w:hanging="540"/>
        <w:contextualSpacing w:val="0"/>
        <w:jc w:val="both"/>
        <w:rPr>
          <w:rFonts w:asciiTheme="majorBidi" w:hAnsiTheme="majorBidi" w:cstheme="majorBidi"/>
          <w:color w:val="000000" w:themeColor="text1"/>
          <w:sz w:val="24"/>
          <w:szCs w:val="24"/>
        </w:rPr>
      </w:pPr>
      <w:r w:rsidRPr="00F41F0E">
        <w:rPr>
          <w:sz w:val="24"/>
          <w:szCs w:val="24"/>
        </w:rPr>
        <w:t>Direct Healthcare Professional Communication (DHPC)</w:t>
      </w:r>
    </w:p>
    <w:p w14:paraId="2D940CEE" w14:textId="14D972AE" w:rsidR="006C4F1F" w:rsidRPr="00E974A3" w:rsidRDefault="00A5416A" w:rsidP="00E974A3">
      <w:pPr>
        <w:widowControl/>
        <w:spacing w:before="120" w:after="120" w:line="360" w:lineRule="auto"/>
        <w:rPr>
          <w:sz w:val="24"/>
          <w:szCs w:val="24"/>
        </w:rPr>
      </w:pPr>
      <w:r w:rsidRPr="00A5416A">
        <w:rPr>
          <w:sz w:val="24"/>
          <w:szCs w:val="24"/>
        </w:rPr>
        <w:t xml:space="preserve">Further details regarding routine and additional risk minimization measures </w:t>
      </w:r>
      <w:r>
        <w:rPr>
          <w:sz w:val="24"/>
          <w:szCs w:val="24"/>
        </w:rPr>
        <w:t>are</w:t>
      </w:r>
      <w:r w:rsidRPr="00A5416A">
        <w:rPr>
          <w:sz w:val="24"/>
          <w:szCs w:val="24"/>
        </w:rPr>
        <w:t xml:space="preserve"> available in </w:t>
      </w:r>
      <w:hyperlink r:id="rId86" w:history="1">
        <w:r w:rsidRPr="00803BBA">
          <w:rPr>
            <w:rStyle w:val="Hyperlink"/>
            <w:sz w:val="24"/>
            <w:szCs w:val="24"/>
          </w:rPr>
          <w:t xml:space="preserve">DRAP </w:t>
        </w:r>
        <w:r w:rsidR="006B5C30" w:rsidRPr="00803BBA">
          <w:rPr>
            <w:rStyle w:val="Hyperlink"/>
            <w:sz w:val="24"/>
            <w:szCs w:val="24"/>
          </w:rPr>
          <w:t xml:space="preserve">Guidelines </w:t>
        </w:r>
        <w:r w:rsidRPr="00803BBA">
          <w:rPr>
            <w:rStyle w:val="Hyperlink"/>
            <w:sz w:val="24"/>
            <w:szCs w:val="24"/>
          </w:rPr>
          <w:t xml:space="preserve">on </w:t>
        </w:r>
        <w:r w:rsidR="006B5C30" w:rsidRPr="00803BBA">
          <w:rPr>
            <w:rStyle w:val="Hyperlink"/>
            <w:sz w:val="24"/>
            <w:szCs w:val="24"/>
          </w:rPr>
          <w:t xml:space="preserve">Good Pharmacovigilance Practices </w:t>
        </w:r>
        <w:r w:rsidRPr="00803BBA">
          <w:rPr>
            <w:rStyle w:val="Hyperlink"/>
            <w:sz w:val="24"/>
            <w:szCs w:val="24"/>
          </w:rPr>
          <w:t xml:space="preserve">for </w:t>
        </w:r>
        <w:r w:rsidR="006B5C30" w:rsidRPr="00803BBA">
          <w:rPr>
            <w:rStyle w:val="Hyperlink"/>
            <w:sz w:val="24"/>
            <w:szCs w:val="24"/>
          </w:rPr>
          <w:t>Registration Holders</w:t>
        </w:r>
        <w:r w:rsidRPr="00803BBA">
          <w:rPr>
            <w:rStyle w:val="Hyperlink"/>
            <w:sz w:val="24"/>
            <w:szCs w:val="24"/>
          </w:rPr>
          <w:t>.</w:t>
        </w:r>
      </w:hyperlink>
      <w:r w:rsidRPr="00A5416A">
        <w:rPr>
          <w:sz w:val="24"/>
          <w:szCs w:val="24"/>
        </w:rPr>
        <w:br w:type="page"/>
      </w:r>
    </w:p>
    <w:tbl>
      <w:tblPr>
        <w:tblStyle w:val="TableGrid"/>
        <w:tblW w:w="0" w:type="auto"/>
        <w:tblLook w:val="04A0" w:firstRow="1" w:lastRow="0" w:firstColumn="1" w:lastColumn="0" w:noHBand="0" w:noVBand="1"/>
      </w:tblPr>
      <w:tblGrid>
        <w:gridCol w:w="9350"/>
      </w:tblGrid>
      <w:tr w:rsidR="006C4F1F" w14:paraId="081EE88A" w14:textId="77777777" w:rsidTr="006C4F1F">
        <w:tc>
          <w:tcPr>
            <w:tcW w:w="9350" w:type="dxa"/>
            <w:shd w:val="clear" w:color="auto" w:fill="00B0F0"/>
          </w:tcPr>
          <w:p w14:paraId="7D357D90" w14:textId="7B954B78" w:rsidR="006C4F1F" w:rsidRPr="00032D7A" w:rsidRDefault="006C4F1F" w:rsidP="00FA156B">
            <w:pPr>
              <w:jc w:val="center"/>
              <w:rPr>
                <w:b/>
                <w:bCs/>
                <w:sz w:val="32"/>
                <w:szCs w:val="32"/>
              </w:rPr>
            </w:pPr>
            <w:r w:rsidRPr="00032D7A">
              <w:rPr>
                <w:b/>
                <w:bCs/>
                <w:sz w:val="32"/>
                <w:szCs w:val="32"/>
              </w:rPr>
              <w:lastRenderedPageBreak/>
              <w:t>CHAPTER-9</w:t>
            </w:r>
          </w:p>
        </w:tc>
      </w:tr>
    </w:tbl>
    <w:p w14:paraId="4D7DFBFE" w14:textId="77777777" w:rsidR="006C4F1F" w:rsidRPr="0084094E" w:rsidRDefault="006C4F1F" w:rsidP="00893329">
      <w:pPr>
        <w:pStyle w:val="Heading1"/>
        <w:bidi/>
        <w:rPr>
          <w:sz w:val="8"/>
          <w:szCs w:val="8"/>
        </w:rPr>
      </w:pPr>
    </w:p>
    <w:p w14:paraId="6AA45308" w14:textId="6C6438A2" w:rsidR="006C4F1F" w:rsidRPr="006635C4" w:rsidRDefault="006C4F1F" w:rsidP="00B551AA">
      <w:pPr>
        <w:pStyle w:val="ListParagraph"/>
        <w:numPr>
          <w:ilvl w:val="0"/>
          <w:numId w:val="72"/>
        </w:numPr>
        <w:ind w:left="270" w:hanging="270"/>
        <w:rPr>
          <w:rStyle w:val="Level1DRAPChar"/>
          <w:bCs/>
        </w:rPr>
      </w:pPr>
      <w:bookmarkStart w:id="109" w:name="_Toc110329934"/>
      <w:r w:rsidRPr="006635C4">
        <w:rPr>
          <w:rStyle w:val="Level1DRAPChar"/>
          <w:bCs/>
        </w:rPr>
        <w:t>TRAINING, CAPACITY BUILDING AND AWARENESS CAMPAIGN.</w:t>
      </w:r>
      <w:bookmarkEnd w:id="109"/>
      <w:r w:rsidRPr="006635C4">
        <w:rPr>
          <w:rStyle w:val="Level1DRAPChar"/>
          <w:bCs/>
        </w:rPr>
        <w:t xml:space="preserve"> </w:t>
      </w:r>
    </w:p>
    <w:p w14:paraId="5BDD9E87" w14:textId="77777777" w:rsidR="00FE6C85" w:rsidRPr="009B2545" w:rsidRDefault="00FE6C85" w:rsidP="00FE6C85">
      <w:pPr>
        <w:rPr>
          <w:sz w:val="10"/>
          <w:szCs w:val="10"/>
        </w:rPr>
      </w:pPr>
    </w:p>
    <w:p w14:paraId="03AE6248" w14:textId="2057C6D8" w:rsidR="00F670EC" w:rsidRPr="00C86A17" w:rsidRDefault="000F5157" w:rsidP="00C86A17">
      <w:pPr>
        <w:spacing w:before="120" w:after="120"/>
        <w:jc w:val="both"/>
        <w:rPr>
          <w:b/>
          <w:bCs/>
          <w:sz w:val="28"/>
          <w:szCs w:val="28"/>
          <w:u w:val="single"/>
        </w:rPr>
      </w:pPr>
      <w:r w:rsidRPr="000F5157">
        <w:rPr>
          <w:b/>
          <w:bCs/>
          <w:sz w:val="28"/>
          <w:szCs w:val="28"/>
          <w:u w:val="single"/>
        </w:rPr>
        <w:t xml:space="preserve">9.1 </w:t>
      </w:r>
      <w:proofErr w:type="spellStart"/>
      <w:r w:rsidR="00F670EC">
        <w:rPr>
          <w:b/>
          <w:bCs/>
          <w:sz w:val="28"/>
          <w:szCs w:val="28"/>
          <w:u w:val="single"/>
        </w:rPr>
        <w:t>Responsbilities</w:t>
      </w:r>
      <w:proofErr w:type="spellEnd"/>
      <w:r w:rsidR="00F670EC">
        <w:rPr>
          <w:b/>
          <w:bCs/>
          <w:sz w:val="28"/>
          <w:szCs w:val="28"/>
          <w:u w:val="single"/>
        </w:rPr>
        <w:t xml:space="preserve"> as </w:t>
      </w:r>
      <w:r w:rsidR="00920E8F">
        <w:rPr>
          <w:b/>
          <w:bCs/>
          <w:sz w:val="28"/>
          <w:szCs w:val="28"/>
          <w:u w:val="single"/>
        </w:rPr>
        <w:t xml:space="preserve">per </w:t>
      </w:r>
      <w:r w:rsidR="00F670EC">
        <w:rPr>
          <w:b/>
          <w:bCs/>
          <w:sz w:val="28"/>
          <w:szCs w:val="28"/>
          <w:u w:val="single"/>
        </w:rPr>
        <w:t>Pharmacovigilance Rules, 2022</w:t>
      </w:r>
      <w:r w:rsidRPr="000F5157">
        <w:rPr>
          <w:b/>
          <w:bCs/>
          <w:sz w:val="28"/>
          <w:szCs w:val="28"/>
          <w:u w:val="single"/>
        </w:rPr>
        <w:t xml:space="preserve">. </w:t>
      </w:r>
    </w:p>
    <w:p w14:paraId="1F1FFDEE" w14:textId="00C9FEDA" w:rsidR="00E907A9" w:rsidRPr="00C93915" w:rsidRDefault="00F670EC" w:rsidP="00F670EC">
      <w:pPr>
        <w:spacing w:before="120" w:after="120" w:line="360" w:lineRule="auto"/>
        <w:jc w:val="both"/>
        <w:rPr>
          <w:i/>
          <w:iCs/>
          <w:sz w:val="26"/>
          <w:szCs w:val="26"/>
        </w:rPr>
      </w:pPr>
      <w:r w:rsidRPr="00C93915">
        <w:rPr>
          <w:i/>
          <w:iCs/>
          <w:sz w:val="26"/>
          <w:szCs w:val="26"/>
        </w:rPr>
        <w:t xml:space="preserve">9.1.1 </w:t>
      </w:r>
      <w:r w:rsidR="00E907A9" w:rsidRPr="00C93915">
        <w:rPr>
          <w:i/>
          <w:iCs/>
          <w:sz w:val="26"/>
          <w:szCs w:val="26"/>
        </w:rPr>
        <w:t>The Function of NPC</w:t>
      </w:r>
      <w:r w:rsidRPr="00C93915">
        <w:rPr>
          <w:i/>
          <w:iCs/>
          <w:sz w:val="26"/>
          <w:szCs w:val="26"/>
        </w:rPr>
        <w:t xml:space="preserve"> as per </w:t>
      </w:r>
      <w:hyperlink r:id="rId87" w:history="1">
        <w:r w:rsidRPr="00622F79">
          <w:rPr>
            <w:rStyle w:val="Hyperlink"/>
            <w:i/>
            <w:iCs/>
            <w:sz w:val="26"/>
            <w:szCs w:val="26"/>
          </w:rPr>
          <w:t>Pharmacovigilance Rules, 2022</w:t>
        </w:r>
      </w:hyperlink>
      <w:r w:rsidRPr="00C93915">
        <w:rPr>
          <w:i/>
          <w:iCs/>
          <w:sz w:val="26"/>
          <w:szCs w:val="26"/>
        </w:rPr>
        <w:t>.</w:t>
      </w:r>
    </w:p>
    <w:p w14:paraId="1D649BA9" w14:textId="74B2E0BA" w:rsidR="00E907A9" w:rsidRPr="00F670EC" w:rsidRDefault="00E907A9" w:rsidP="00F670EC">
      <w:pPr>
        <w:spacing w:before="120" w:after="120" w:line="360" w:lineRule="auto"/>
        <w:jc w:val="both"/>
        <w:rPr>
          <w:bCs/>
          <w:sz w:val="24"/>
          <w:szCs w:val="24"/>
        </w:rPr>
      </w:pPr>
      <w:r w:rsidRPr="00F670EC">
        <w:rPr>
          <w:sz w:val="24"/>
          <w:szCs w:val="24"/>
        </w:rPr>
        <w:t xml:space="preserve">As per clause (ix) of </w:t>
      </w:r>
      <w:r w:rsidR="000D079E" w:rsidRPr="00F670EC">
        <w:rPr>
          <w:sz w:val="24"/>
          <w:szCs w:val="24"/>
        </w:rPr>
        <w:t>sub</w:t>
      </w:r>
      <w:r w:rsidRPr="00F670EC">
        <w:rPr>
          <w:sz w:val="24"/>
          <w:szCs w:val="24"/>
        </w:rPr>
        <w:t>-</w:t>
      </w:r>
      <w:r w:rsidR="00BE74B5" w:rsidRPr="00F670EC">
        <w:rPr>
          <w:sz w:val="24"/>
          <w:szCs w:val="24"/>
        </w:rPr>
        <w:t xml:space="preserve">rule </w:t>
      </w:r>
      <w:r w:rsidRPr="00F670EC">
        <w:rPr>
          <w:sz w:val="24"/>
          <w:szCs w:val="24"/>
        </w:rPr>
        <w:t>(1) of</w:t>
      </w:r>
      <w:r w:rsidR="000D079E">
        <w:rPr>
          <w:sz w:val="24"/>
          <w:szCs w:val="24"/>
        </w:rPr>
        <w:t xml:space="preserve"> Rule 4 of</w:t>
      </w:r>
      <w:r w:rsidR="00F670EC" w:rsidRPr="00F670EC">
        <w:rPr>
          <w:sz w:val="24"/>
          <w:szCs w:val="24"/>
        </w:rPr>
        <w:t xml:space="preserve"> the said rules</w:t>
      </w:r>
      <w:r w:rsidRPr="00F670EC">
        <w:rPr>
          <w:sz w:val="24"/>
          <w:szCs w:val="24"/>
        </w:rPr>
        <w:t xml:space="preserve">, the NPC should </w:t>
      </w:r>
      <w:r w:rsidRPr="00F670EC">
        <w:rPr>
          <w:bCs/>
          <w:sz w:val="24"/>
          <w:szCs w:val="24"/>
        </w:rPr>
        <w:t xml:space="preserve">take appropriate measures to encourage PPCs, PHPs, registration </w:t>
      </w:r>
      <w:r w:rsidR="00CD6BB8" w:rsidRPr="00F670EC">
        <w:rPr>
          <w:bCs/>
          <w:sz w:val="24"/>
          <w:szCs w:val="24"/>
        </w:rPr>
        <w:t>holders’</w:t>
      </w:r>
      <w:r w:rsidRPr="00F670EC">
        <w:rPr>
          <w:bCs/>
          <w:sz w:val="24"/>
          <w:szCs w:val="24"/>
        </w:rPr>
        <w:t xml:space="preserve"> patients and healthcare professionals to report ADRs and AEs to the NPC.</w:t>
      </w:r>
    </w:p>
    <w:p w14:paraId="4D98E1DD" w14:textId="5CA7FC1E" w:rsidR="00E907A9" w:rsidRPr="00F670EC" w:rsidRDefault="00F670EC" w:rsidP="00F670EC">
      <w:pPr>
        <w:spacing w:before="120" w:after="120" w:line="360" w:lineRule="auto"/>
        <w:jc w:val="both"/>
        <w:rPr>
          <w:bCs/>
          <w:sz w:val="24"/>
          <w:szCs w:val="24"/>
        </w:rPr>
      </w:pPr>
      <w:r w:rsidRPr="00F670EC">
        <w:rPr>
          <w:sz w:val="24"/>
          <w:szCs w:val="24"/>
        </w:rPr>
        <w:t xml:space="preserve">As per clause (x) of </w:t>
      </w:r>
      <w:r w:rsidR="00BE74B5" w:rsidRPr="00F670EC">
        <w:rPr>
          <w:sz w:val="24"/>
          <w:szCs w:val="24"/>
        </w:rPr>
        <w:t>sub</w:t>
      </w:r>
      <w:r w:rsidRPr="00F670EC">
        <w:rPr>
          <w:sz w:val="24"/>
          <w:szCs w:val="24"/>
        </w:rPr>
        <w:t>-</w:t>
      </w:r>
      <w:r w:rsidR="00BE74B5" w:rsidRPr="00F670EC">
        <w:rPr>
          <w:sz w:val="24"/>
          <w:szCs w:val="24"/>
        </w:rPr>
        <w:t xml:space="preserve">rule </w:t>
      </w:r>
      <w:r w:rsidRPr="00F670EC">
        <w:rPr>
          <w:sz w:val="24"/>
          <w:szCs w:val="24"/>
        </w:rPr>
        <w:t xml:space="preserve">(1) </w:t>
      </w:r>
      <w:r w:rsidR="000D079E" w:rsidRPr="00F670EC">
        <w:rPr>
          <w:sz w:val="24"/>
          <w:szCs w:val="24"/>
        </w:rPr>
        <w:t>of</w:t>
      </w:r>
      <w:r w:rsidR="000D079E">
        <w:rPr>
          <w:sz w:val="24"/>
          <w:szCs w:val="24"/>
        </w:rPr>
        <w:t xml:space="preserve"> Rule 4 </w:t>
      </w:r>
      <w:r w:rsidRPr="00F670EC">
        <w:rPr>
          <w:sz w:val="24"/>
          <w:szCs w:val="24"/>
        </w:rPr>
        <w:t xml:space="preserve">of the said rules, the NPC should </w:t>
      </w:r>
      <w:r w:rsidRPr="00F670EC">
        <w:rPr>
          <w:bCs/>
          <w:sz w:val="24"/>
          <w:szCs w:val="24"/>
        </w:rPr>
        <w:t>facilitate patient and healthcare professional reporting through the provision of alternative reporting formats in addition to the hard format of reporting forms.</w:t>
      </w:r>
    </w:p>
    <w:p w14:paraId="21755254" w14:textId="23F0423E" w:rsidR="00F670EC" w:rsidRPr="00F670EC" w:rsidRDefault="00F670EC" w:rsidP="00F670EC">
      <w:pPr>
        <w:spacing w:before="120" w:after="120" w:line="360" w:lineRule="auto"/>
        <w:jc w:val="both"/>
        <w:rPr>
          <w:bCs/>
          <w:sz w:val="24"/>
          <w:szCs w:val="24"/>
        </w:rPr>
      </w:pPr>
      <w:r w:rsidRPr="00F670EC">
        <w:rPr>
          <w:sz w:val="24"/>
          <w:szCs w:val="24"/>
        </w:rPr>
        <w:t xml:space="preserve">Likewise, as per clause (xiii) of </w:t>
      </w:r>
      <w:r w:rsidR="00BE74B5" w:rsidRPr="00F670EC">
        <w:rPr>
          <w:sz w:val="24"/>
          <w:szCs w:val="24"/>
        </w:rPr>
        <w:t>sub</w:t>
      </w:r>
      <w:r w:rsidRPr="00F670EC">
        <w:rPr>
          <w:sz w:val="24"/>
          <w:szCs w:val="24"/>
        </w:rPr>
        <w:t>-</w:t>
      </w:r>
      <w:r w:rsidR="00BE74B5" w:rsidRPr="00F670EC">
        <w:rPr>
          <w:sz w:val="24"/>
          <w:szCs w:val="24"/>
        </w:rPr>
        <w:t xml:space="preserve">rule </w:t>
      </w:r>
      <w:r w:rsidRPr="00F670EC">
        <w:rPr>
          <w:sz w:val="24"/>
          <w:szCs w:val="24"/>
        </w:rPr>
        <w:t>(1)</w:t>
      </w:r>
      <w:r w:rsidR="000D079E">
        <w:rPr>
          <w:sz w:val="24"/>
          <w:szCs w:val="24"/>
        </w:rPr>
        <w:t xml:space="preserve"> </w:t>
      </w:r>
      <w:r w:rsidR="000D079E" w:rsidRPr="00F670EC">
        <w:rPr>
          <w:sz w:val="24"/>
          <w:szCs w:val="24"/>
        </w:rPr>
        <w:t>of</w:t>
      </w:r>
      <w:r w:rsidR="000D079E">
        <w:rPr>
          <w:sz w:val="24"/>
          <w:szCs w:val="24"/>
        </w:rPr>
        <w:t xml:space="preserve"> Rule 4 </w:t>
      </w:r>
      <w:r w:rsidRPr="00F670EC">
        <w:rPr>
          <w:sz w:val="24"/>
          <w:szCs w:val="24"/>
        </w:rPr>
        <w:t xml:space="preserve">of the said rules, the NPC should </w:t>
      </w:r>
      <w:r w:rsidRPr="00F670EC">
        <w:rPr>
          <w:bCs/>
          <w:sz w:val="24"/>
          <w:szCs w:val="24"/>
        </w:rPr>
        <w:t>arrange training sessions for POs of PPCs and PHPs for proper reporting of ADRs and AEs through the National database.</w:t>
      </w:r>
    </w:p>
    <w:p w14:paraId="6FAAF129" w14:textId="241C5213" w:rsidR="00E907A9" w:rsidRDefault="00F670EC" w:rsidP="00920E8F">
      <w:pPr>
        <w:spacing w:before="120" w:after="120" w:line="360" w:lineRule="auto"/>
        <w:jc w:val="both"/>
        <w:rPr>
          <w:bCs/>
        </w:rPr>
      </w:pPr>
      <w:r w:rsidRPr="00F670EC">
        <w:rPr>
          <w:sz w:val="24"/>
          <w:szCs w:val="24"/>
        </w:rPr>
        <w:t>S</w:t>
      </w:r>
      <w:r w:rsidR="0096156C">
        <w:rPr>
          <w:sz w:val="24"/>
          <w:szCs w:val="24"/>
        </w:rPr>
        <w:t>i</w:t>
      </w:r>
      <w:r w:rsidRPr="00F670EC">
        <w:rPr>
          <w:sz w:val="24"/>
          <w:szCs w:val="24"/>
        </w:rPr>
        <w:t xml:space="preserve">milarly, as per clause (xv) of </w:t>
      </w:r>
      <w:r w:rsidR="00BE74B5" w:rsidRPr="00F670EC">
        <w:rPr>
          <w:sz w:val="24"/>
          <w:szCs w:val="24"/>
        </w:rPr>
        <w:t>sub</w:t>
      </w:r>
      <w:r w:rsidRPr="00F670EC">
        <w:rPr>
          <w:sz w:val="24"/>
          <w:szCs w:val="24"/>
        </w:rPr>
        <w:t>-</w:t>
      </w:r>
      <w:r w:rsidR="00BE74B5" w:rsidRPr="00F670EC">
        <w:rPr>
          <w:sz w:val="24"/>
          <w:szCs w:val="24"/>
        </w:rPr>
        <w:t xml:space="preserve">rule </w:t>
      </w:r>
      <w:r w:rsidRPr="00F670EC">
        <w:rPr>
          <w:sz w:val="24"/>
          <w:szCs w:val="24"/>
        </w:rPr>
        <w:t>(1)</w:t>
      </w:r>
      <w:r w:rsidR="000D079E">
        <w:rPr>
          <w:sz w:val="24"/>
          <w:szCs w:val="24"/>
        </w:rPr>
        <w:t xml:space="preserve"> </w:t>
      </w:r>
      <w:r w:rsidRPr="00F670EC">
        <w:rPr>
          <w:sz w:val="24"/>
          <w:szCs w:val="24"/>
        </w:rPr>
        <w:t>of Rule 4 of the said rules</w:t>
      </w:r>
      <w:r w:rsidRPr="00F670EC">
        <w:rPr>
          <w:bCs/>
          <w:sz w:val="24"/>
          <w:szCs w:val="24"/>
        </w:rPr>
        <w:t>, the NPC should take necessary measures for training or capacity building of the POs of NPC regarding data collection, causality assessment, signal detection and risk management etc</w:t>
      </w:r>
      <w:r>
        <w:rPr>
          <w:bCs/>
        </w:rPr>
        <w:t>.</w:t>
      </w:r>
    </w:p>
    <w:p w14:paraId="6F11BFC1" w14:textId="43664B06" w:rsidR="003123D8" w:rsidRPr="00C93915" w:rsidRDefault="003123D8" w:rsidP="00920E8F">
      <w:pPr>
        <w:spacing w:before="120" w:after="120" w:line="360" w:lineRule="auto"/>
        <w:jc w:val="both"/>
        <w:rPr>
          <w:i/>
          <w:iCs/>
          <w:sz w:val="26"/>
          <w:szCs w:val="26"/>
        </w:rPr>
      </w:pPr>
      <w:r w:rsidRPr="00C93915">
        <w:rPr>
          <w:i/>
          <w:iCs/>
          <w:sz w:val="26"/>
          <w:szCs w:val="26"/>
        </w:rPr>
        <w:t>9.1.2 The Function of provincial and hospital centres as per rules.</w:t>
      </w:r>
    </w:p>
    <w:p w14:paraId="4658FFB1" w14:textId="04BB18E4" w:rsidR="0096156C" w:rsidRPr="00BE777A" w:rsidRDefault="0096156C" w:rsidP="00920E8F">
      <w:pPr>
        <w:spacing w:before="120" w:after="120" w:line="360" w:lineRule="auto"/>
        <w:jc w:val="both"/>
        <w:rPr>
          <w:sz w:val="24"/>
          <w:szCs w:val="24"/>
        </w:rPr>
      </w:pPr>
      <w:r w:rsidRPr="00BE777A">
        <w:rPr>
          <w:sz w:val="24"/>
          <w:szCs w:val="24"/>
        </w:rPr>
        <w:t xml:space="preserve">As per clause (h) of </w:t>
      </w:r>
      <w:r w:rsidR="008B0EC0" w:rsidRPr="00BE777A">
        <w:rPr>
          <w:sz w:val="24"/>
          <w:szCs w:val="24"/>
        </w:rPr>
        <w:t>sub</w:t>
      </w:r>
      <w:r w:rsidR="007D55F1">
        <w:rPr>
          <w:sz w:val="24"/>
          <w:szCs w:val="24"/>
        </w:rPr>
        <w:t>-</w:t>
      </w:r>
      <w:r w:rsidR="006F69E0" w:rsidRPr="00BE777A">
        <w:rPr>
          <w:sz w:val="24"/>
          <w:szCs w:val="24"/>
        </w:rPr>
        <w:t xml:space="preserve">rule </w:t>
      </w:r>
      <w:r w:rsidRPr="00BE777A">
        <w:rPr>
          <w:sz w:val="24"/>
          <w:szCs w:val="24"/>
        </w:rPr>
        <w:t xml:space="preserve">(4) of Rule 5 of the </w:t>
      </w:r>
      <w:hyperlink r:id="rId88" w:history="1">
        <w:r w:rsidRPr="007D55F1">
          <w:rPr>
            <w:rStyle w:val="Hyperlink"/>
            <w:sz w:val="24"/>
            <w:szCs w:val="24"/>
          </w:rPr>
          <w:t>Pharmacovigilance Rules, 2022</w:t>
        </w:r>
      </w:hyperlink>
      <w:r w:rsidRPr="00BE777A">
        <w:rPr>
          <w:sz w:val="24"/>
          <w:szCs w:val="24"/>
        </w:rPr>
        <w:t xml:space="preserve">, the provincial pharmacovigilance </w:t>
      </w:r>
      <w:r w:rsidR="00792110" w:rsidRPr="00BE777A">
        <w:rPr>
          <w:sz w:val="24"/>
          <w:szCs w:val="24"/>
        </w:rPr>
        <w:t xml:space="preserve">centres (PPCs) should arrange awareness sessions, campaigns or take other necessary measures to sensitize healthcare professionals and patients to promote spontaneous reporting culture in the province and administrative territory. </w:t>
      </w:r>
    </w:p>
    <w:p w14:paraId="28EE5CDC" w14:textId="2E411090" w:rsidR="00792110" w:rsidRPr="00BE777A" w:rsidRDefault="00C93915" w:rsidP="00920E8F">
      <w:pPr>
        <w:spacing w:before="120" w:after="120" w:line="360" w:lineRule="auto"/>
        <w:jc w:val="both"/>
        <w:rPr>
          <w:sz w:val="24"/>
          <w:szCs w:val="24"/>
        </w:rPr>
      </w:pPr>
      <w:r w:rsidRPr="00BE777A">
        <w:rPr>
          <w:sz w:val="24"/>
          <w:szCs w:val="24"/>
        </w:rPr>
        <w:t>As per clause (</w:t>
      </w:r>
      <w:proofErr w:type="spellStart"/>
      <w:r w:rsidRPr="00BE777A">
        <w:rPr>
          <w:sz w:val="24"/>
          <w:szCs w:val="24"/>
        </w:rPr>
        <w:t>i</w:t>
      </w:r>
      <w:proofErr w:type="spellEnd"/>
      <w:r w:rsidRPr="00BE777A">
        <w:rPr>
          <w:sz w:val="24"/>
          <w:szCs w:val="24"/>
        </w:rPr>
        <w:t xml:space="preserve">) of </w:t>
      </w:r>
      <w:r w:rsidR="008B0EC0" w:rsidRPr="00BE777A">
        <w:rPr>
          <w:sz w:val="24"/>
          <w:szCs w:val="24"/>
        </w:rPr>
        <w:t>sub</w:t>
      </w:r>
      <w:r w:rsidR="007D55F1">
        <w:rPr>
          <w:sz w:val="24"/>
          <w:szCs w:val="24"/>
        </w:rPr>
        <w:t>-</w:t>
      </w:r>
      <w:r w:rsidR="008B0EC0" w:rsidRPr="00BE777A">
        <w:rPr>
          <w:sz w:val="24"/>
          <w:szCs w:val="24"/>
        </w:rPr>
        <w:t xml:space="preserve">rule </w:t>
      </w:r>
      <w:r w:rsidRPr="00BE777A">
        <w:rPr>
          <w:sz w:val="24"/>
          <w:szCs w:val="24"/>
        </w:rPr>
        <w:t>(4) of Rule 5 of the said rules, the PPCs should arrange pharmacovigilance training for public sector hospitals of the province and coordinate for their proper functioning</w:t>
      </w:r>
      <w:r w:rsidR="002C5FBE" w:rsidRPr="00BE777A">
        <w:rPr>
          <w:sz w:val="24"/>
          <w:szCs w:val="24"/>
        </w:rPr>
        <w:t>.</w:t>
      </w:r>
    </w:p>
    <w:p w14:paraId="0E782369" w14:textId="70C570D1" w:rsidR="00BE777A" w:rsidRPr="00BE777A" w:rsidRDefault="00BE777A" w:rsidP="00920E8F">
      <w:pPr>
        <w:spacing w:before="120" w:after="120" w:line="360" w:lineRule="auto"/>
        <w:jc w:val="both"/>
        <w:rPr>
          <w:sz w:val="24"/>
          <w:szCs w:val="24"/>
        </w:rPr>
      </w:pPr>
      <w:r w:rsidRPr="00BE777A">
        <w:rPr>
          <w:sz w:val="24"/>
          <w:szCs w:val="24"/>
        </w:rPr>
        <w:t xml:space="preserve">Similarly, as per sub-rule (3) of Rule 8 of </w:t>
      </w:r>
      <w:hyperlink r:id="rId89" w:history="1">
        <w:r w:rsidRPr="004172D5">
          <w:rPr>
            <w:rStyle w:val="Hyperlink"/>
            <w:sz w:val="24"/>
            <w:szCs w:val="24"/>
          </w:rPr>
          <w:t>Pharmacovigilance Rules, 2022</w:t>
        </w:r>
      </w:hyperlink>
      <w:r w:rsidRPr="00BE777A">
        <w:rPr>
          <w:sz w:val="24"/>
          <w:szCs w:val="24"/>
        </w:rPr>
        <w:t>, the Pharmacovigilance Committee</w:t>
      </w:r>
      <w:r>
        <w:rPr>
          <w:sz w:val="24"/>
          <w:szCs w:val="24"/>
        </w:rPr>
        <w:t xml:space="preserve"> of the hospital</w:t>
      </w:r>
      <w:r w:rsidRPr="00BE777A">
        <w:rPr>
          <w:sz w:val="24"/>
          <w:szCs w:val="24"/>
        </w:rPr>
        <w:t xml:space="preserve"> shall develop spontaneous reporting trends and culture in the hospitals by sensitizing health care professionals, medical students and patients.</w:t>
      </w:r>
    </w:p>
    <w:p w14:paraId="75C19C31" w14:textId="1A92DD09" w:rsidR="00E907A9" w:rsidRPr="000F5157" w:rsidRDefault="00E907A9" w:rsidP="00E907A9">
      <w:pPr>
        <w:jc w:val="both"/>
        <w:rPr>
          <w:b/>
          <w:bCs/>
          <w:sz w:val="28"/>
          <w:szCs w:val="28"/>
          <w:u w:val="single"/>
        </w:rPr>
      </w:pPr>
      <w:r w:rsidRPr="000F5157">
        <w:rPr>
          <w:b/>
          <w:bCs/>
          <w:sz w:val="28"/>
          <w:szCs w:val="28"/>
          <w:u w:val="single"/>
        </w:rPr>
        <w:t>9.</w:t>
      </w:r>
      <w:r w:rsidR="00920E8F">
        <w:rPr>
          <w:b/>
          <w:bCs/>
          <w:sz w:val="28"/>
          <w:szCs w:val="28"/>
          <w:u w:val="single"/>
        </w:rPr>
        <w:t>2</w:t>
      </w:r>
      <w:r w:rsidRPr="000F5157">
        <w:rPr>
          <w:b/>
          <w:bCs/>
          <w:sz w:val="28"/>
          <w:szCs w:val="28"/>
          <w:u w:val="single"/>
        </w:rPr>
        <w:t xml:space="preserve"> Training and Capacity Building. </w:t>
      </w:r>
    </w:p>
    <w:p w14:paraId="018E1313" w14:textId="692CD879" w:rsidR="006C4F1F" w:rsidRPr="00B666BC" w:rsidRDefault="006C4F1F" w:rsidP="00706935">
      <w:pPr>
        <w:widowControl/>
        <w:autoSpaceDE w:val="0"/>
        <w:autoSpaceDN w:val="0"/>
        <w:adjustRightInd w:val="0"/>
        <w:spacing w:after="120" w:line="360" w:lineRule="auto"/>
        <w:jc w:val="both"/>
        <w:rPr>
          <w:rFonts w:eastAsiaTheme="minorHAnsi"/>
          <w:sz w:val="24"/>
          <w:szCs w:val="24"/>
          <w:lang w:val="en-US"/>
        </w:rPr>
      </w:pPr>
      <w:r w:rsidRPr="00B666BC">
        <w:rPr>
          <w:bCs/>
          <w:sz w:val="24"/>
          <w:szCs w:val="24"/>
        </w:rPr>
        <w:lastRenderedPageBreak/>
        <w:t xml:space="preserve">National Pharmacovigilance Centre (NPC), Division of Pharmacy Services, at first, conduct necessary </w:t>
      </w:r>
      <w:r w:rsidR="00D65D5D" w:rsidRPr="00B666BC">
        <w:rPr>
          <w:bCs/>
          <w:sz w:val="24"/>
          <w:szCs w:val="24"/>
        </w:rPr>
        <w:t>pieces of training</w:t>
      </w:r>
      <w:r w:rsidRPr="00B666BC">
        <w:rPr>
          <w:bCs/>
          <w:sz w:val="24"/>
          <w:szCs w:val="24"/>
        </w:rPr>
        <w:t xml:space="preserve"> </w:t>
      </w:r>
      <w:r w:rsidR="00D65D5D" w:rsidRPr="00B666BC">
        <w:rPr>
          <w:bCs/>
          <w:sz w:val="24"/>
          <w:szCs w:val="24"/>
        </w:rPr>
        <w:t>for</w:t>
      </w:r>
      <w:r w:rsidRPr="00B666BC">
        <w:rPr>
          <w:bCs/>
          <w:sz w:val="24"/>
          <w:szCs w:val="24"/>
        </w:rPr>
        <w:t xml:space="preserve"> pharmacovigilance officers working </w:t>
      </w:r>
      <w:r w:rsidR="00542266" w:rsidRPr="00B666BC">
        <w:rPr>
          <w:bCs/>
          <w:sz w:val="24"/>
          <w:szCs w:val="24"/>
        </w:rPr>
        <w:t>in</w:t>
      </w:r>
      <w:r w:rsidRPr="00B666BC">
        <w:rPr>
          <w:bCs/>
          <w:sz w:val="24"/>
          <w:szCs w:val="24"/>
        </w:rPr>
        <w:t xml:space="preserve"> NPC on </w:t>
      </w:r>
      <w:r w:rsidR="00B666BC" w:rsidRPr="00B666BC">
        <w:rPr>
          <w:rFonts w:eastAsiaTheme="minorHAnsi"/>
          <w:sz w:val="24"/>
          <w:szCs w:val="24"/>
          <w:lang w:val="en-US"/>
        </w:rPr>
        <w:t>data collection, causality assessment, signal detection and risk management</w:t>
      </w:r>
      <w:r w:rsidRPr="00B666BC">
        <w:rPr>
          <w:bCs/>
          <w:sz w:val="24"/>
          <w:szCs w:val="24"/>
        </w:rPr>
        <w:t xml:space="preserve">. NPC also identify other key areas where training is required at </w:t>
      </w:r>
      <w:r w:rsidR="005F163D" w:rsidRPr="00B666BC">
        <w:rPr>
          <w:bCs/>
          <w:sz w:val="24"/>
          <w:szCs w:val="24"/>
        </w:rPr>
        <w:t xml:space="preserve">the </w:t>
      </w:r>
      <w:r w:rsidRPr="00B666BC">
        <w:rPr>
          <w:bCs/>
          <w:sz w:val="24"/>
          <w:szCs w:val="24"/>
        </w:rPr>
        <w:t>National level. To this end, DRAP either invite international trainers for</w:t>
      </w:r>
      <w:r w:rsidR="005F163D" w:rsidRPr="00B666BC">
        <w:rPr>
          <w:bCs/>
          <w:sz w:val="24"/>
          <w:szCs w:val="24"/>
        </w:rPr>
        <w:t xml:space="preserve"> the purpose of</w:t>
      </w:r>
      <w:r w:rsidRPr="00B666BC">
        <w:rPr>
          <w:bCs/>
          <w:sz w:val="24"/>
          <w:szCs w:val="24"/>
        </w:rPr>
        <w:t xml:space="preserve"> training in Pakistan or send their pharmacovigilance officers abroad for participation in international training</w:t>
      </w:r>
      <w:r w:rsidR="00B666BC">
        <w:rPr>
          <w:bCs/>
          <w:sz w:val="24"/>
          <w:szCs w:val="24"/>
        </w:rPr>
        <w:t>/courses</w:t>
      </w:r>
      <w:r w:rsidRPr="00B666BC">
        <w:rPr>
          <w:bCs/>
          <w:sz w:val="24"/>
          <w:szCs w:val="24"/>
        </w:rPr>
        <w:t xml:space="preserve">. </w:t>
      </w:r>
      <w:r w:rsidR="005F163D" w:rsidRPr="00B666BC">
        <w:rPr>
          <w:bCs/>
          <w:sz w:val="24"/>
          <w:szCs w:val="24"/>
        </w:rPr>
        <w:t>In this regard, the NPC</w:t>
      </w:r>
      <w:r w:rsidRPr="00B666BC">
        <w:rPr>
          <w:bCs/>
          <w:sz w:val="24"/>
          <w:szCs w:val="24"/>
        </w:rPr>
        <w:t xml:space="preserve"> develop </w:t>
      </w:r>
      <w:r w:rsidR="00D65D5D" w:rsidRPr="00B666BC">
        <w:rPr>
          <w:bCs/>
          <w:sz w:val="24"/>
          <w:szCs w:val="24"/>
        </w:rPr>
        <w:t xml:space="preserve">a </w:t>
      </w:r>
      <w:r w:rsidRPr="00B666BC">
        <w:rPr>
          <w:bCs/>
          <w:sz w:val="24"/>
          <w:szCs w:val="24"/>
        </w:rPr>
        <w:t xml:space="preserve">pharmacovigilance training plan and update it at least once a year and keep </w:t>
      </w:r>
      <w:r w:rsidR="00D65D5D" w:rsidRPr="00B666BC">
        <w:rPr>
          <w:bCs/>
          <w:sz w:val="24"/>
          <w:szCs w:val="24"/>
        </w:rPr>
        <w:t xml:space="preserve">a </w:t>
      </w:r>
      <w:r w:rsidRPr="00B666BC">
        <w:rPr>
          <w:bCs/>
          <w:sz w:val="24"/>
          <w:szCs w:val="24"/>
        </w:rPr>
        <w:t>record of staff training.</w:t>
      </w:r>
      <w:r w:rsidR="00B666BC">
        <w:rPr>
          <w:bCs/>
          <w:sz w:val="24"/>
          <w:szCs w:val="24"/>
        </w:rPr>
        <w:t xml:space="preserve"> During the recent focus on </w:t>
      </w:r>
      <w:r w:rsidR="00D20420">
        <w:rPr>
          <w:bCs/>
          <w:sz w:val="24"/>
          <w:szCs w:val="24"/>
        </w:rPr>
        <w:t xml:space="preserve">the </w:t>
      </w:r>
      <w:r w:rsidR="00B666BC">
        <w:rPr>
          <w:bCs/>
          <w:sz w:val="24"/>
          <w:szCs w:val="24"/>
        </w:rPr>
        <w:t>virtual era of communication, many of the training session</w:t>
      </w:r>
      <w:r w:rsidR="00D20420">
        <w:rPr>
          <w:bCs/>
          <w:sz w:val="24"/>
          <w:szCs w:val="24"/>
        </w:rPr>
        <w:t>s</w:t>
      </w:r>
      <w:r w:rsidR="00B666BC">
        <w:rPr>
          <w:bCs/>
          <w:sz w:val="24"/>
          <w:szCs w:val="24"/>
        </w:rPr>
        <w:t xml:space="preserve"> for pharmacovigilance officers of NPC </w:t>
      </w:r>
      <w:r w:rsidR="00D42F68">
        <w:rPr>
          <w:bCs/>
          <w:sz w:val="24"/>
          <w:szCs w:val="24"/>
        </w:rPr>
        <w:t>were</w:t>
      </w:r>
      <w:r w:rsidR="00B666BC">
        <w:rPr>
          <w:bCs/>
          <w:sz w:val="24"/>
          <w:szCs w:val="24"/>
        </w:rPr>
        <w:t xml:space="preserve"> arranged virtually.</w:t>
      </w:r>
    </w:p>
    <w:p w14:paraId="427E7D92" w14:textId="3A775467" w:rsidR="006C4F1F" w:rsidRDefault="006C4F1F" w:rsidP="00706935">
      <w:pPr>
        <w:spacing w:after="120" w:line="360" w:lineRule="auto"/>
        <w:jc w:val="both"/>
        <w:rPr>
          <w:bCs/>
          <w:sz w:val="24"/>
          <w:szCs w:val="24"/>
        </w:rPr>
      </w:pPr>
      <w:r w:rsidRPr="00C20172">
        <w:rPr>
          <w:bCs/>
          <w:sz w:val="24"/>
          <w:szCs w:val="24"/>
        </w:rPr>
        <w:t xml:space="preserve">The pharmacovigilance officers of </w:t>
      </w:r>
      <w:r w:rsidR="002B4935">
        <w:rPr>
          <w:bCs/>
          <w:sz w:val="24"/>
          <w:szCs w:val="24"/>
        </w:rPr>
        <w:t xml:space="preserve">the </w:t>
      </w:r>
      <w:r w:rsidRPr="00C20172">
        <w:rPr>
          <w:bCs/>
          <w:sz w:val="24"/>
          <w:szCs w:val="24"/>
        </w:rPr>
        <w:t>NPC once trained provide further training to stakeholders such as provincial pharmacovigilance centres (PPCs), public health programmes (PHPs), healthcare professionals and registration holders. The training provided to provincial pharmacovigilance centres and public health programme</w:t>
      </w:r>
      <w:r w:rsidR="00D20420">
        <w:rPr>
          <w:bCs/>
          <w:sz w:val="24"/>
          <w:szCs w:val="24"/>
        </w:rPr>
        <w:t>s</w:t>
      </w:r>
      <w:r w:rsidRPr="00C20172">
        <w:rPr>
          <w:bCs/>
          <w:sz w:val="24"/>
          <w:szCs w:val="24"/>
        </w:rPr>
        <w:t xml:space="preserve"> is focused on </w:t>
      </w:r>
      <w:r w:rsidR="00D20420">
        <w:rPr>
          <w:bCs/>
          <w:sz w:val="24"/>
          <w:szCs w:val="24"/>
        </w:rPr>
        <w:t xml:space="preserve">the </w:t>
      </w:r>
      <w:r w:rsidRPr="00C20172">
        <w:rPr>
          <w:bCs/>
          <w:sz w:val="24"/>
          <w:szCs w:val="24"/>
        </w:rPr>
        <w:t>collectio</w:t>
      </w:r>
      <w:r w:rsidR="00641401">
        <w:rPr>
          <w:bCs/>
          <w:sz w:val="24"/>
          <w:szCs w:val="24"/>
        </w:rPr>
        <w:t>n, validation and</w:t>
      </w:r>
      <w:r w:rsidRPr="00C20172">
        <w:rPr>
          <w:bCs/>
          <w:sz w:val="24"/>
          <w:szCs w:val="24"/>
        </w:rPr>
        <w:t xml:space="preserve"> data entry of adverse events/ reactions</w:t>
      </w:r>
      <w:r w:rsidR="00641401">
        <w:rPr>
          <w:bCs/>
          <w:sz w:val="24"/>
          <w:szCs w:val="24"/>
        </w:rPr>
        <w:t xml:space="preserve"> in </w:t>
      </w:r>
      <w:r w:rsidR="00D20420">
        <w:rPr>
          <w:bCs/>
          <w:sz w:val="24"/>
          <w:szCs w:val="24"/>
        </w:rPr>
        <w:t xml:space="preserve">the </w:t>
      </w:r>
      <w:proofErr w:type="spellStart"/>
      <w:r w:rsidR="00641401">
        <w:rPr>
          <w:bCs/>
          <w:sz w:val="24"/>
          <w:szCs w:val="24"/>
        </w:rPr>
        <w:t>VigiFlow</w:t>
      </w:r>
      <w:proofErr w:type="spellEnd"/>
      <w:r w:rsidR="00641401">
        <w:rPr>
          <w:bCs/>
          <w:sz w:val="24"/>
          <w:szCs w:val="24"/>
        </w:rPr>
        <w:t xml:space="preserve"> database</w:t>
      </w:r>
      <w:r w:rsidRPr="00C20172">
        <w:rPr>
          <w:bCs/>
          <w:sz w:val="24"/>
          <w:szCs w:val="24"/>
        </w:rPr>
        <w:t xml:space="preserve">. In addition, </w:t>
      </w:r>
      <w:r w:rsidR="002B4935">
        <w:rPr>
          <w:bCs/>
          <w:sz w:val="24"/>
          <w:szCs w:val="24"/>
        </w:rPr>
        <w:t xml:space="preserve">NPC </w:t>
      </w:r>
      <w:r w:rsidR="00641401">
        <w:rPr>
          <w:bCs/>
          <w:sz w:val="24"/>
          <w:szCs w:val="24"/>
        </w:rPr>
        <w:t>also coordinate</w:t>
      </w:r>
      <w:r w:rsidR="00D20420">
        <w:rPr>
          <w:bCs/>
          <w:sz w:val="24"/>
          <w:szCs w:val="24"/>
        </w:rPr>
        <w:t>s</w:t>
      </w:r>
      <w:r w:rsidR="00641401">
        <w:rPr>
          <w:bCs/>
          <w:sz w:val="24"/>
          <w:szCs w:val="24"/>
        </w:rPr>
        <w:t xml:space="preserve"> with</w:t>
      </w:r>
      <w:r w:rsidRPr="00C20172">
        <w:rPr>
          <w:bCs/>
          <w:sz w:val="24"/>
          <w:szCs w:val="24"/>
        </w:rPr>
        <w:t xml:space="preserve"> PPCs and PHPs</w:t>
      </w:r>
      <w:r w:rsidR="00641401">
        <w:rPr>
          <w:bCs/>
          <w:sz w:val="24"/>
          <w:szCs w:val="24"/>
        </w:rPr>
        <w:t xml:space="preserve"> for </w:t>
      </w:r>
      <w:r w:rsidRPr="00C20172">
        <w:rPr>
          <w:bCs/>
          <w:sz w:val="24"/>
          <w:szCs w:val="24"/>
        </w:rPr>
        <w:t>the establishment of their pharmacovigilance centres. To this end, DRAP arrange</w:t>
      </w:r>
      <w:r w:rsidR="00D20420">
        <w:rPr>
          <w:bCs/>
          <w:sz w:val="24"/>
          <w:szCs w:val="24"/>
        </w:rPr>
        <w:t>s</w:t>
      </w:r>
      <w:r w:rsidRPr="00C20172">
        <w:rPr>
          <w:bCs/>
          <w:sz w:val="24"/>
          <w:szCs w:val="24"/>
        </w:rPr>
        <w:t xml:space="preserve"> training sessions at DRAP headquarters, Islamabad, wherein </w:t>
      </w:r>
      <w:r w:rsidR="00D42F68" w:rsidRPr="00C20172">
        <w:rPr>
          <w:bCs/>
          <w:sz w:val="24"/>
          <w:szCs w:val="24"/>
        </w:rPr>
        <w:t xml:space="preserve">Pharmacovigilance Officers </w:t>
      </w:r>
      <w:r w:rsidRPr="00C20172">
        <w:rPr>
          <w:bCs/>
          <w:sz w:val="24"/>
          <w:szCs w:val="24"/>
        </w:rPr>
        <w:t>(POs)/ Focal Persons from PPCs, and PHPs are trained on different aspects of pharmacovigilance such as pharmacovigilance centres establishment, data collection, and data entry</w:t>
      </w:r>
      <w:r w:rsidR="00641401">
        <w:rPr>
          <w:bCs/>
          <w:sz w:val="24"/>
          <w:szCs w:val="24"/>
        </w:rPr>
        <w:t xml:space="preserve"> etc</w:t>
      </w:r>
      <w:r w:rsidRPr="00C20172">
        <w:rPr>
          <w:bCs/>
          <w:sz w:val="24"/>
          <w:szCs w:val="24"/>
        </w:rPr>
        <w:t>.</w:t>
      </w:r>
      <w:r w:rsidR="00D42F68">
        <w:rPr>
          <w:bCs/>
          <w:sz w:val="24"/>
          <w:szCs w:val="24"/>
        </w:rPr>
        <w:t xml:space="preserve"> </w:t>
      </w:r>
      <w:r w:rsidR="00641401">
        <w:rPr>
          <w:bCs/>
          <w:sz w:val="24"/>
          <w:szCs w:val="24"/>
        </w:rPr>
        <w:t>Sometimes, the</w:t>
      </w:r>
      <w:r w:rsidRPr="00C20172">
        <w:rPr>
          <w:bCs/>
          <w:sz w:val="24"/>
          <w:szCs w:val="24"/>
        </w:rPr>
        <w:t xml:space="preserve"> NPC-DRAP also arranges training session</w:t>
      </w:r>
      <w:r w:rsidR="00D42F68">
        <w:rPr>
          <w:bCs/>
          <w:sz w:val="24"/>
          <w:szCs w:val="24"/>
        </w:rPr>
        <w:t>s</w:t>
      </w:r>
      <w:r w:rsidRPr="00C20172">
        <w:rPr>
          <w:bCs/>
          <w:sz w:val="24"/>
          <w:szCs w:val="24"/>
        </w:rPr>
        <w:t xml:space="preserve"> for registration holders</w:t>
      </w:r>
      <w:r w:rsidR="00641401">
        <w:rPr>
          <w:bCs/>
          <w:sz w:val="24"/>
          <w:szCs w:val="24"/>
        </w:rPr>
        <w:t xml:space="preserve"> on specific guidelines/directives etc</w:t>
      </w:r>
      <w:r w:rsidRPr="00C20172">
        <w:rPr>
          <w:bCs/>
          <w:sz w:val="24"/>
          <w:szCs w:val="24"/>
        </w:rPr>
        <w:t xml:space="preserve">, wherein necessary training is provided on pharmacovigilance system establishment in line with </w:t>
      </w:r>
      <w:r w:rsidR="00565BDA" w:rsidRPr="00C20172">
        <w:rPr>
          <w:bCs/>
          <w:sz w:val="24"/>
          <w:szCs w:val="24"/>
        </w:rPr>
        <w:t>Good</w:t>
      </w:r>
      <w:r w:rsidR="00565BDA">
        <w:rPr>
          <w:bCs/>
          <w:sz w:val="24"/>
          <w:szCs w:val="24"/>
        </w:rPr>
        <w:t xml:space="preserve"> </w:t>
      </w:r>
      <w:r w:rsidR="00565BDA" w:rsidRPr="00C20172">
        <w:rPr>
          <w:bCs/>
          <w:sz w:val="24"/>
          <w:szCs w:val="24"/>
        </w:rPr>
        <w:t>Pharmacovigilance</w:t>
      </w:r>
      <w:r w:rsidR="00D42F68" w:rsidRPr="00C20172">
        <w:rPr>
          <w:bCs/>
          <w:sz w:val="24"/>
          <w:szCs w:val="24"/>
        </w:rPr>
        <w:t xml:space="preserve"> Practices</w:t>
      </w:r>
      <w:r w:rsidR="00D42F68">
        <w:rPr>
          <w:bCs/>
          <w:sz w:val="24"/>
          <w:szCs w:val="24"/>
        </w:rPr>
        <w:t xml:space="preserve"> </w:t>
      </w:r>
      <w:r w:rsidR="00641401">
        <w:rPr>
          <w:bCs/>
          <w:sz w:val="24"/>
          <w:szCs w:val="24"/>
        </w:rPr>
        <w:t>guidelines.</w:t>
      </w:r>
      <w:r w:rsidRPr="00C20172">
        <w:rPr>
          <w:bCs/>
          <w:sz w:val="24"/>
          <w:szCs w:val="24"/>
        </w:rPr>
        <w:t xml:space="preserve"> </w:t>
      </w:r>
    </w:p>
    <w:p w14:paraId="5B391742" w14:textId="16CE0FA9" w:rsidR="0026240B" w:rsidRPr="00C20172" w:rsidRDefault="0026240B" w:rsidP="00EA301D">
      <w:pPr>
        <w:spacing w:after="120" w:line="360" w:lineRule="auto"/>
        <w:jc w:val="both"/>
        <w:rPr>
          <w:bCs/>
          <w:sz w:val="24"/>
          <w:szCs w:val="24"/>
        </w:rPr>
      </w:pPr>
      <w:r>
        <w:rPr>
          <w:bCs/>
          <w:sz w:val="24"/>
          <w:szCs w:val="24"/>
        </w:rPr>
        <w:t xml:space="preserve">The </w:t>
      </w:r>
      <w:r w:rsidR="006C4F1F" w:rsidRPr="00C20172">
        <w:rPr>
          <w:bCs/>
          <w:sz w:val="24"/>
          <w:szCs w:val="24"/>
        </w:rPr>
        <w:t xml:space="preserve">NPC-DRAP also arrange different workshops, seminars, symposium, conferences and meetings at </w:t>
      </w:r>
      <w:r w:rsidR="00D20420">
        <w:rPr>
          <w:bCs/>
          <w:sz w:val="24"/>
          <w:szCs w:val="24"/>
        </w:rPr>
        <w:t xml:space="preserve">the </w:t>
      </w:r>
      <w:r w:rsidR="006C4F1F" w:rsidRPr="00C20172">
        <w:rPr>
          <w:bCs/>
          <w:sz w:val="24"/>
          <w:szCs w:val="24"/>
        </w:rPr>
        <w:t xml:space="preserve">National level, wherein </w:t>
      </w:r>
      <w:r w:rsidR="00D42F68" w:rsidRPr="00C20172">
        <w:rPr>
          <w:bCs/>
          <w:sz w:val="24"/>
          <w:szCs w:val="24"/>
        </w:rPr>
        <w:t xml:space="preserve">Pharmacovigilance Officers </w:t>
      </w:r>
      <w:r w:rsidR="006C4F1F" w:rsidRPr="00C20172">
        <w:rPr>
          <w:bCs/>
          <w:sz w:val="24"/>
          <w:szCs w:val="24"/>
        </w:rPr>
        <w:t xml:space="preserve">of </w:t>
      </w:r>
      <w:r>
        <w:rPr>
          <w:bCs/>
          <w:sz w:val="24"/>
          <w:szCs w:val="24"/>
        </w:rPr>
        <w:t xml:space="preserve">the </w:t>
      </w:r>
      <w:r w:rsidR="006C4F1F" w:rsidRPr="00C20172">
        <w:rPr>
          <w:bCs/>
          <w:sz w:val="24"/>
          <w:szCs w:val="24"/>
        </w:rPr>
        <w:t xml:space="preserve">NPC, PPCs, and PHPs along with other stakeholders such </w:t>
      </w:r>
      <w:r w:rsidR="00D20420">
        <w:rPr>
          <w:bCs/>
          <w:sz w:val="24"/>
          <w:szCs w:val="24"/>
        </w:rPr>
        <w:t xml:space="preserve">as </w:t>
      </w:r>
      <w:r w:rsidR="006C4F1F" w:rsidRPr="00C20172">
        <w:rPr>
          <w:bCs/>
          <w:sz w:val="24"/>
          <w:szCs w:val="24"/>
        </w:rPr>
        <w:t>registration holders, healthcare professionals</w:t>
      </w:r>
      <w:r>
        <w:rPr>
          <w:bCs/>
          <w:sz w:val="24"/>
          <w:szCs w:val="24"/>
        </w:rPr>
        <w:t xml:space="preserve"> and </w:t>
      </w:r>
      <w:r w:rsidR="006C4F1F" w:rsidRPr="00C20172">
        <w:rPr>
          <w:bCs/>
          <w:sz w:val="24"/>
          <w:szCs w:val="24"/>
        </w:rPr>
        <w:t xml:space="preserve">people from academia are </w:t>
      </w:r>
      <w:r w:rsidR="00641401">
        <w:rPr>
          <w:bCs/>
          <w:sz w:val="24"/>
          <w:szCs w:val="24"/>
        </w:rPr>
        <w:t>invited for sharing of knowledge and learning from other exper</w:t>
      </w:r>
      <w:r w:rsidR="00D20420">
        <w:rPr>
          <w:bCs/>
          <w:sz w:val="24"/>
          <w:szCs w:val="24"/>
        </w:rPr>
        <w:t>ie</w:t>
      </w:r>
      <w:r w:rsidR="00641401">
        <w:rPr>
          <w:bCs/>
          <w:sz w:val="24"/>
          <w:szCs w:val="24"/>
        </w:rPr>
        <w:t>nces.</w:t>
      </w:r>
    </w:p>
    <w:p w14:paraId="76130DA0" w14:textId="6785FD8A" w:rsidR="006C4F1F" w:rsidRDefault="006C4F1F" w:rsidP="00706935">
      <w:pPr>
        <w:spacing w:after="120" w:line="360" w:lineRule="auto"/>
        <w:jc w:val="both"/>
        <w:rPr>
          <w:bCs/>
          <w:sz w:val="24"/>
          <w:szCs w:val="24"/>
        </w:rPr>
      </w:pPr>
      <w:r w:rsidRPr="00C20172">
        <w:rPr>
          <w:bCs/>
          <w:sz w:val="24"/>
          <w:szCs w:val="24"/>
        </w:rPr>
        <w:t>PPCs also arrange training session</w:t>
      </w:r>
      <w:r w:rsidR="00D42F68">
        <w:rPr>
          <w:bCs/>
          <w:sz w:val="24"/>
          <w:szCs w:val="24"/>
        </w:rPr>
        <w:t>s</w:t>
      </w:r>
      <w:r w:rsidRPr="00C20172">
        <w:rPr>
          <w:bCs/>
          <w:sz w:val="24"/>
          <w:szCs w:val="24"/>
        </w:rPr>
        <w:t xml:space="preserve"> for </w:t>
      </w:r>
      <w:r w:rsidR="00D42F68" w:rsidRPr="00C20172">
        <w:rPr>
          <w:bCs/>
          <w:sz w:val="24"/>
          <w:szCs w:val="24"/>
        </w:rPr>
        <w:t>Pharmacovigilance Officers</w:t>
      </w:r>
      <w:r w:rsidRPr="00C20172">
        <w:rPr>
          <w:bCs/>
          <w:sz w:val="24"/>
          <w:szCs w:val="24"/>
        </w:rPr>
        <w:t xml:space="preserve">, hospitals and healthcare professionals of the provinces on </w:t>
      </w:r>
      <w:r w:rsidR="00D20420">
        <w:rPr>
          <w:bCs/>
          <w:sz w:val="24"/>
          <w:szCs w:val="24"/>
        </w:rPr>
        <w:t xml:space="preserve">the </w:t>
      </w:r>
      <w:r w:rsidRPr="00C20172">
        <w:rPr>
          <w:bCs/>
          <w:sz w:val="24"/>
          <w:szCs w:val="24"/>
        </w:rPr>
        <w:t>identification, assessment and reporting of ADR and AEs. Officers of NPC also participate in these training</w:t>
      </w:r>
      <w:r w:rsidR="00D42F68">
        <w:rPr>
          <w:bCs/>
          <w:sz w:val="24"/>
          <w:szCs w:val="24"/>
        </w:rPr>
        <w:t xml:space="preserve"> </w:t>
      </w:r>
      <w:r w:rsidRPr="00C20172">
        <w:rPr>
          <w:bCs/>
          <w:sz w:val="24"/>
          <w:szCs w:val="24"/>
        </w:rPr>
        <w:t xml:space="preserve">which are provided at </w:t>
      </w:r>
      <w:r w:rsidR="00D20420">
        <w:rPr>
          <w:bCs/>
          <w:sz w:val="24"/>
          <w:szCs w:val="24"/>
        </w:rPr>
        <w:t xml:space="preserve">the </w:t>
      </w:r>
      <w:r w:rsidRPr="00C20172">
        <w:rPr>
          <w:bCs/>
          <w:sz w:val="24"/>
          <w:szCs w:val="24"/>
        </w:rPr>
        <w:t xml:space="preserve">provincial level. In addition, PPCs also utilize the expertise of potential hospitals, and with their collaboration conduct training of other hospitals. </w:t>
      </w:r>
    </w:p>
    <w:p w14:paraId="53FEAC48" w14:textId="773122F7" w:rsidR="006C4F1F" w:rsidRDefault="006C4F1F" w:rsidP="00706935">
      <w:pPr>
        <w:spacing w:after="120" w:line="360" w:lineRule="auto"/>
        <w:jc w:val="both"/>
        <w:rPr>
          <w:bCs/>
          <w:sz w:val="24"/>
          <w:szCs w:val="24"/>
        </w:rPr>
      </w:pPr>
      <w:r w:rsidRPr="00C20172">
        <w:rPr>
          <w:bCs/>
          <w:sz w:val="24"/>
          <w:szCs w:val="24"/>
        </w:rPr>
        <w:lastRenderedPageBreak/>
        <w:t xml:space="preserve">PHPs are mostly well funded by international donors, therefore, they can either invite international trainers to conduct training of their </w:t>
      </w:r>
      <w:r w:rsidR="00D42F68" w:rsidRPr="00C20172">
        <w:rPr>
          <w:bCs/>
          <w:sz w:val="24"/>
          <w:szCs w:val="24"/>
        </w:rPr>
        <w:t xml:space="preserve">Pharmacovigilance Officers </w:t>
      </w:r>
      <w:r w:rsidRPr="00C20172">
        <w:rPr>
          <w:bCs/>
          <w:sz w:val="24"/>
          <w:szCs w:val="24"/>
        </w:rPr>
        <w:t xml:space="preserve">in Pakistan or send their </w:t>
      </w:r>
      <w:r w:rsidR="00D42F68" w:rsidRPr="00C20172">
        <w:rPr>
          <w:bCs/>
          <w:sz w:val="24"/>
          <w:szCs w:val="24"/>
        </w:rPr>
        <w:t>Pharmacovigilance Officers</w:t>
      </w:r>
      <w:r w:rsidRPr="00C20172">
        <w:rPr>
          <w:bCs/>
          <w:sz w:val="24"/>
          <w:szCs w:val="24"/>
        </w:rPr>
        <w:t xml:space="preserve">/Focal Persons abroad for participation in international training. However, necessary training/guidance </w:t>
      </w:r>
      <w:r w:rsidR="006620DF">
        <w:rPr>
          <w:bCs/>
          <w:sz w:val="24"/>
          <w:szCs w:val="24"/>
        </w:rPr>
        <w:t xml:space="preserve">related to </w:t>
      </w:r>
      <w:proofErr w:type="spellStart"/>
      <w:r w:rsidR="006620DF">
        <w:rPr>
          <w:bCs/>
          <w:sz w:val="24"/>
          <w:szCs w:val="24"/>
        </w:rPr>
        <w:t>VigiFlow</w:t>
      </w:r>
      <w:proofErr w:type="spellEnd"/>
      <w:r w:rsidR="006620DF">
        <w:rPr>
          <w:bCs/>
          <w:sz w:val="24"/>
          <w:szCs w:val="24"/>
        </w:rPr>
        <w:t xml:space="preserve"> data entry and data collection </w:t>
      </w:r>
      <w:r w:rsidRPr="00C20172">
        <w:rPr>
          <w:bCs/>
          <w:sz w:val="24"/>
          <w:szCs w:val="24"/>
        </w:rPr>
        <w:t>is provided by NPC-DRAP. Pharmacovigilance officers of DRAP also participate in training session</w:t>
      </w:r>
      <w:r w:rsidR="00D20420">
        <w:rPr>
          <w:bCs/>
          <w:sz w:val="24"/>
          <w:szCs w:val="24"/>
        </w:rPr>
        <w:t>s</w:t>
      </w:r>
      <w:r w:rsidRPr="00C20172">
        <w:rPr>
          <w:bCs/>
          <w:sz w:val="24"/>
          <w:szCs w:val="24"/>
        </w:rPr>
        <w:t xml:space="preserve"> arranged by PHPs in Pakistan.</w:t>
      </w:r>
    </w:p>
    <w:p w14:paraId="6C243B6B" w14:textId="3317449C" w:rsidR="006C4F1F" w:rsidRDefault="006C4F1F" w:rsidP="00706935">
      <w:pPr>
        <w:spacing w:after="120" w:line="360" w:lineRule="auto"/>
        <w:jc w:val="both"/>
        <w:rPr>
          <w:bCs/>
          <w:sz w:val="24"/>
          <w:szCs w:val="24"/>
        </w:rPr>
      </w:pPr>
      <w:r w:rsidRPr="00C20172">
        <w:rPr>
          <w:bCs/>
          <w:sz w:val="24"/>
          <w:szCs w:val="24"/>
        </w:rPr>
        <w:t xml:space="preserve">Registration holders also properly train their </w:t>
      </w:r>
      <w:r w:rsidR="006D0733">
        <w:rPr>
          <w:bCs/>
          <w:sz w:val="24"/>
          <w:szCs w:val="24"/>
        </w:rPr>
        <w:t>qualified persons</w:t>
      </w:r>
      <w:r w:rsidR="00D42F68">
        <w:rPr>
          <w:bCs/>
          <w:sz w:val="24"/>
          <w:szCs w:val="24"/>
        </w:rPr>
        <w:t xml:space="preserve"> at the time of appointment </w:t>
      </w:r>
      <w:r w:rsidRPr="00C20172">
        <w:rPr>
          <w:bCs/>
          <w:sz w:val="24"/>
          <w:szCs w:val="24"/>
        </w:rPr>
        <w:t>on different pharmacovigilance activities. In addition, healthcare professionals should also be trained</w:t>
      </w:r>
      <w:r w:rsidR="00D42F68">
        <w:rPr>
          <w:bCs/>
          <w:sz w:val="24"/>
          <w:szCs w:val="24"/>
        </w:rPr>
        <w:t xml:space="preserve"> as a part of additional risk minimization activities</w:t>
      </w:r>
      <w:r w:rsidRPr="00C20172">
        <w:rPr>
          <w:bCs/>
          <w:sz w:val="24"/>
          <w:szCs w:val="24"/>
        </w:rPr>
        <w:t>. A</w:t>
      </w:r>
      <w:r w:rsidR="00D20420">
        <w:rPr>
          <w:bCs/>
          <w:sz w:val="24"/>
          <w:szCs w:val="24"/>
        </w:rPr>
        <w:t>n a</w:t>
      </w:r>
      <w:r w:rsidRPr="00C20172">
        <w:rPr>
          <w:bCs/>
          <w:sz w:val="24"/>
          <w:szCs w:val="24"/>
        </w:rPr>
        <w:t>wareness campaign for healthcare professionals and patients should also be launched by registration holders</w:t>
      </w:r>
      <w:r w:rsidR="006D0733">
        <w:rPr>
          <w:bCs/>
          <w:sz w:val="24"/>
          <w:szCs w:val="24"/>
        </w:rPr>
        <w:t>.</w:t>
      </w:r>
    </w:p>
    <w:p w14:paraId="45085BFA" w14:textId="3219F6D8" w:rsidR="006C4F1F" w:rsidRPr="000F5157" w:rsidRDefault="000F5157" w:rsidP="00706935">
      <w:pPr>
        <w:spacing w:after="120" w:line="360" w:lineRule="auto"/>
        <w:jc w:val="both"/>
        <w:rPr>
          <w:bCs/>
          <w:sz w:val="28"/>
          <w:szCs w:val="28"/>
          <w:u w:val="single"/>
        </w:rPr>
      </w:pPr>
      <w:r w:rsidRPr="000F5157">
        <w:rPr>
          <w:b/>
          <w:bCs/>
          <w:sz w:val="28"/>
          <w:szCs w:val="28"/>
          <w:u w:val="single"/>
        </w:rPr>
        <w:t>9.</w:t>
      </w:r>
      <w:r w:rsidR="00920E8F">
        <w:rPr>
          <w:b/>
          <w:bCs/>
          <w:sz w:val="28"/>
          <w:szCs w:val="28"/>
          <w:u w:val="single"/>
        </w:rPr>
        <w:t>3</w:t>
      </w:r>
      <w:r w:rsidRPr="000F5157">
        <w:rPr>
          <w:b/>
          <w:bCs/>
          <w:sz w:val="28"/>
          <w:szCs w:val="28"/>
          <w:u w:val="single"/>
        </w:rPr>
        <w:t xml:space="preserve"> Awareness Campaign</w:t>
      </w:r>
      <w:r w:rsidR="006C4F1F" w:rsidRPr="000F5157">
        <w:rPr>
          <w:bCs/>
          <w:sz w:val="28"/>
          <w:szCs w:val="28"/>
          <w:u w:val="single"/>
        </w:rPr>
        <w:t>:</w:t>
      </w:r>
    </w:p>
    <w:p w14:paraId="6CBD5312" w14:textId="1EAFD749" w:rsidR="006C4F1F" w:rsidRDefault="006D0733" w:rsidP="00706935">
      <w:pPr>
        <w:spacing w:after="120" w:line="360" w:lineRule="auto"/>
        <w:jc w:val="both"/>
        <w:rPr>
          <w:bCs/>
          <w:sz w:val="24"/>
          <w:szCs w:val="24"/>
        </w:rPr>
      </w:pPr>
      <w:r>
        <w:rPr>
          <w:bCs/>
          <w:sz w:val="24"/>
          <w:szCs w:val="24"/>
        </w:rPr>
        <w:t xml:space="preserve">The </w:t>
      </w:r>
      <w:r w:rsidR="006C4F1F" w:rsidRPr="00C20172">
        <w:rPr>
          <w:bCs/>
          <w:sz w:val="24"/>
          <w:szCs w:val="24"/>
        </w:rPr>
        <w:t xml:space="preserve">NPC and PPCs are responsible for raising awareness among healthcare professionals, patients and distributors. Both NPC and PPCs should resort to different means of </w:t>
      </w:r>
      <w:r w:rsidR="00D20420">
        <w:rPr>
          <w:bCs/>
          <w:sz w:val="24"/>
          <w:szCs w:val="24"/>
        </w:rPr>
        <w:t xml:space="preserve">an </w:t>
      </w:r>
      <w:r w:rsidR="006C4F1F" w:rsidRPr="00C20172">
        <w:rPr>
          <w:bCs/>
          <w:sz w:val="24"/>
          <w:szCs w:val="24"/>
        </w:rPr>
        <w:t>awareness campaign in order to build a positive reporting culture in the country.</w:t>
      </w:r>
    </w:p>
    <w:p w14:paraId="3628BDCB" w14:textId="3B4FE4B7" w:rsidR="006C4F1F" w:rsidRDefault="006C4F1F" w:rsidP="00706935">
      <w:pPr>
        <w:spacing w:after="120" w:line="360" w:lineRule="auto"/>
        <w:jc w:val="both"/>
        <w:rPr>
          <w:bCs/>
          <w:sz w:val="24"/>
          <w:szCs w:val="24"/>
        </w:rPr>
      </w:pPr>
      <w:r>
        <w:rPr>
          <w:bCs/>
          <w:sz w:val="24"/>
          <w:szCs w:val="24"/>
        </w:rPr>
        <w:t xml:space="preserve">On </w:t>
      </w:r>
      <w:hyperlink r:id="rId90" w:history="1">
        <w:r w:rsidR="00EF609E" w:rsidRPr="00EF609E">
          <w:rPr>
            <w:rStyle w:val="Hyperlink"/>
            <w:bCs/>
            <w:sz w:val="24"/>
            <w:szCs w:val="24"/>
          </w:rPr>
          <w:t>World Patient Safety Day</w:t>
        </w:r>
      </w:hyperlink>
      <w:r>
        <w:rPr>
          <w:bCs/>
          <w:sz w:val="24"/>
          <w:szCs w:val="24"/>
        </w:rPr>
        <w:t>, the 17</w:t>
      </w:r>
      <w:r w:rsidRPr="00D76091">
        <w:rPr>
          <w:bCs/>
          <w:sz w:val="24"/>
          <w:szCs w:val="24"/>
          <w:vertAlign w:val="superscript"/>
        </w:rPr>
        <w:t>th</w:t>
      </w:r>
      <w:r>
        <w:rPr>
          <w:bCs/>
          <w:sz w:val="24"/>
          <w:szCs w:val="24"/>
        </w:rPr>
        <w:t xml:space="preserve"> </w:t>
      </w:r>
      <w:r w:rsidR="00D20420">
        <w:rPr>
          <w:bCs/>
          <w:sz w:val="24"/>
          <w:szCs w:val="24"/>
        </w:rPr>
        <w:t xml:space="preserve">of </w:t>
      </w:r>
      <w:r>
        <w:rPr>
          <w:bCs/>
          <w:sz w:val="24"/>
          <w:szCs w:val="24"/>
        </w:rPr>
        <w:t xml:space="preserve">September each year, awareness campaigns for healthcare professionals and </w:t>
      </w:r>
      <w:r w:rsidR="00D20420">
        <w:rPr>
          <w:bCs/>
          <w:sz w:val="24"/>
          <w:szCs w:val="24"/>
        </w:rPr>
        <w:t xml:space="preserve">the </w:t>
      </w:r>
      <w:r>
        <w:rPr>
          <w:bCs/>
          <w:sz w:val="24"/>
          <w:szCs w:val="24"/>
        </w:rPr>
        <w:t xml:space="preserve">public </w:t>
      </w:r>
      <w:r w:rsidR="006D0733">
        <w:rPr>
          <w:bCs/>
          <w:sz w:val="24"/>
          <w:szCs w:val="24"/>
        </w:rPr>
        <w:t>is</w:t>
      </w:r>
      <w:r>
        <w:rPr>
          <w:bCs/>
          <w:sz w:val="24"/>
          <w:szCs w:val="24"/>
        </w:rPr>
        <w:t xml:space="preserve"> launched by NPC and PPC. Different mean</w:t>
      </w:r>
      <w:r w:rsidR="00D20420">
        <w:rPr>
          <w:bCs/>
          <w:sz w:val="24"/>
          <w:szCs w:val="24"/>
        </w:rPr>
        <w:t>s</w:t>
      </w:r>
      <w:r>
        <w:rPr>
          <w:bCs/>
          <w:sz w:val="24"/>
          <w:szCs w:val="24"/>
        </w:rPr>
        <w:t xml:space="preserve"> of </w:t>
      </w:r>
      <w:r w:rsidR="00D20420">
        <w:rPr>
          <w:bCs/>
          <w:sz w:val="24"/>
          <w:szCs w:val="24"/>
        </w:rPr>
        <w:t xml:space="preserve">the </w:t>
      </w:r>
      <w:r>
        <w:rPr>
          <w:bCs/>
          <w:sz w:val="24"/>
          <w:szCs w:val="24"/>
        </w:rPr>
        <w:t xml:space="preserve">awareness campaign for healthcare professionals and patients </w:t>
      </w:r>
      <w:r w:rsidR="006D0733">
        <w:rPr>
          <w:bCs/>
          <w:sz w:val="24"/>
          <w:szCs w:val="24"/>
        </w:rPr>
        <w:t>are</w:t>
      </w:r>
      <w:r>
        <w:rPr>
          <w:bCs/>
          <w:sz w:val="24"/>
          <w:szCs w:val="24"/>
        </w:rPr>
        <w:t xml:space="preserve"> adopted. Academia, public health programme</w:t>
      </w:r>
      <w:r w:rsidR="00D20420">
        <w:rPr>
          <w:bCs/>
          <w:sz w:val="24"/>
          <w:szCs w:val="24"/>
        </w:rPr>
        <w:t>s</w:t>
      </w:r>
      <w:r>
        <w:rPr>
          <w:bCs/>
          <w:sz w:val="24"/>
          <w:szCs w:val="24"/>
        </w:rPr>
        <w:t xml:space="preserve">, hospitals and registration holders </w:t>
      </w:r>
      <w:r w:rsidR="006D0733">
        <w:rPr>
          <w:bCs/>
          <w:sz w:val="24"/>
          <w:szCs w:val="24"/>
        </w:rPr>
        <w:t xml:space="preserve">also play </w:t>
      </w:r>
      <w:r>
        <w:rPr>
          <w:bCs/>
          <w:sz w:val="24"/>
          <w:szCs w:val="24"/>
        </w:rPr>
        <w:t xml:space="preserve">their </w:t>
      </w:r>
      <w:r w:rsidR="006D0733">
        <w:rPr>
          <w:bCs/>
          <w:sz w:val="24"/>
          <w:szCs w:val="24"/>
        </w:rPr>
        <w:t xml:space="preserve">part in </w:t>
      </w:r>
      <w:r w:rsidR="00D20420">
        <w:rPr>
          <w:bCs/>
          <w:sz w:val="24"/>
          <w:szCs w:val="24"/>
        </w:rPr>
        <w:t xml:space="preserve">an </w:t>
      </w:r>
      <w:r>
        <w:rPr>
          <w:bCs/>
          <w:sz w:val="24"/>
          <w:szCs w:val="24"/>
        </w:rPr>
        <w:t>awareness campaign on world patient safety day</w:t>
      </w:r>
      <w:r w:rsidR="006D0733">
        <w:rPr>
          <w:bCs/>
          <w:sz w:val="24"/>
          <w:szCs w:val="24"/>
        </w:rPr>
        <w:t>.</w:t>
      </w:r>
    </w:p>
    <w:p w14:paraId="20AD8B7B" w14:textId="70AE5217" w:rsidR="00BA57C9" w:rsidRPr="00C20172" w:rsidRDefault="00B23EEF" w:rsidP="001362BB">
      <w:pPr>
        <w:spacing w:after="120" w:line="360" w:lineRule="auto"/>
        <w:jc w:val="both"/>
        <w:rPr>
          <w:bCs/>
          <w:sz w:val="24"/>
          <w:szCs w:val="24"/>
        </w:rPr>
      </w:pPr>
      <w:r>
        <w:rPr>
          <w:bCs/>
          <w:sz w:val="24"/>
          <w:szCs w:val="24"/>
        </w:rPr>
        <w:t xml:space="preserve">The </w:t>
      </w:r>
      <w:r w:rsidR="00E55AFF">
        <w:rPr>
          <w:bCs/>
          <w:sz w:val="24"/>
          <w:szCs w:val="24"/>
        </w:rPr>
        <w:t xml:space="preserve">main </w:t>
      </w:r>
      <w:r>
        <w:rPr>
          <w:bCs/>
          <w:sz w:val="24"/>
          <w:szCs w:val="24"/>
        </w:rPr>
        <w:t xml:space="preserve">international campaign </w:t>
      </w:r>
      <w:r w:rsidR="00E55AFF">
        <w:rPr>
          <w:bCs/>
          <w:sz w:val="24"/>
          <w:szCs w:val="24"/>
        </w:rPr>
        <w:t xml:space="preserve">that </w:t>
      </w:r>
      <w:r w:rsidR="00D20420">
        <w:rPr>
          <w:bCs/>
          <w:sz w:val="24"/>
          <w:szCs w:val="24"/>
        </w:rPr>
        <w:t xml:space="preserve">is </w:t>
      </w:r>
      <w:r w:rsidR="00E55AFF">
        <w:rPr>
          <w:bCs/>
          <w:sz w:val="24"/>
          <w:szCs w:val="24"/>
        </w:rPr>
        <w:t>held annu</w:t>
      </w:r>
      <w:r w:rsidR="00D20420">
        <w:rPr>
          <w:bCs/>
          <w:sz w:val="24"/>
          <w:szCs w:val="24"/>
        </w:rPr>
        <w:t>a</w:t>
      </w:r>
      <w:r w:rsidR="00E55AFF">
        <w:rPr>
          <w:bCs/>
          <w:sz w:val="24"/>
          <w:szCs w:val="24"/>
        </w:rPr>
        <w:t xml:space="preserve">lly through social media is </w:t>
      </w:r>
      <w:hyperlink r:id="rId91" w:history="1">
        <w:proofErr w:type="spellStart"/>
        <w:r w:rsidR="00E55AFF" w:rsidRPr="001F6975">
          <w:rPr>
            <w:rStyle w:val="Hyperlink"/>
            <w:bCs/>
            <w:sz w:val="24"/>
            <w:szCs w:val="24"/>
          </w:rPr>
          <w:t>MedSafety</w:t>
        </w:r>
        <w:proofErr w:type="spellEnd"/>
        <w:r w:rsidR="00E55AFF" w:rsidRPr="001F6975">
          <w:rPr>
            <w:rStyle w:val="Hyperlink"/>
            <w:bCs/>
            <w:sz w:val="24"/>
            <w:szCs w:val="24"/>
          </w:rPr>
          <w:t xml:space="preserve"> Week</w:t>
        </w:r>
      </w:hyperlink>
      <w:r w:rsidR="00E55AFF">
        <w:rPr>
          <w:bCs/>
          <w:sz w:val="24"/>
          <w:szCs w:val="24"/>
        </w:rPr>
        <w:t xml:space="preserve"> collabor</w:t>
      </w:r>
      <w:r w:rsidR="00D20420">
        <w:rPr>
          <w:bCs/>
          <w:sz w:val="24"/>
          <w:szCs w:val="24"/>
        </w:rPr>
        <w:t>a</w:t>
      </w:r>
      <w:r w:rsidR="00E55AFF">
        <w:rPr>
          <w:bCs/>
          <w:sz w:val="24"/>
          <w:szCs w:val="24"/>
        </w:rPr>
        <w:t>ted</w:t>
      </w:r>
      <w:r>
        <w:rPr>
          <w:bCs/>
          <w:sz w:val="24"/>
          <w:szCs w:val="24"/>
        </w:rPr>
        <w:t xml:space="preserve"> by Uppsala Monitoring Centre. National Pharmacovigilance</w:t>
      </w:r>
      <w:r w:rsidR="00D20420">
        <w:rPr>
          <w:bCs/>
          <w:sz w:val="24"/>
          <w:szCs w:val="24"/>
        </w:rPr>
        <w:t xml:space="preserve"> Centres</w:t>
      </w:r>
      <w:r>
        <w:rPr>
          <w:bCs/>
          <w:sz w:val="24"/>
          <w:szCs w:val="24"/>
        </w:rPr>
        <w:t>, regulatory bodies and rel</w:t>
      </w:r>
      <w:r w:rsidR="00D20420">
        <w:rPr>
          <w:bCs/>
          <w:sz w:val="24"/>
          <w:szCs w:val="24"/>
        </w:rPr>
        <w:t>eva</w:t>
      </w:r>
      <w:r>
        <w:rPr>
          <w:bCs/>
          <w:sz w:val="24"/>
          <w:szCs w:val="24"/>
        </w:rPr>
        <w:t>nt stakeholder</w:t>
      </w:r>
      <w:r w:rsidR="00D20420">
        <w:rPr>
          <w:bCs/>
          <w:sz w:val="24"/>
          <w:szCs w:val="24"/>
        </w:rPr>
        <w:t>s</w:t>
      </w:r>
      <w:r>
        <w:rPr>
          <w:bCs/>
          <w:sz w:val="24"/>
          <w:szCs w:val="24"/>
        </w:rPr>
        <w:t xml:space="preserve"> participate through their national centres in this campaign through social media to r</w:t>
      </w:r>
      <w:r w:rsidR="00D20420">
        <w:rPr>
          <w:bCs/>
          <w:sz w:val="24"/>
          <w:szCs w:val="24"/>
        </w:rPr>
        <w:t>aise</w:t>
      </w:r>
      <w:r>
        <w:rPr>
          <w:bCs/>
          <w:sz w:val="24"/>
          <w:szCs w:val="24"/>
        </w:rPr>
        <w:t xml:space="preserve"> awar</w:t>
      </w:r>
      <w:r w:rsidR="00D20420">
        <w:rPr>
          <w:bCs/>
          <w:sz w:val="24"/>
          <w:szCs w:val="24"/>
        </w:rPr>
        <w:t>e</w:t>
      </w:r>
      <w:r>
        <w:rPr>
          <w:bCs/>
          <w:sz w:val="24"/>
          <w:szCs w:val="24"/>
        </w:rPr>
        <w:t>ness and encourage reporting of side effect</w:t>
      </w:r>
      <w:r w:rsidR="00D20420">
        <w:rPr>
          <w:bCs/>
          <w:sz w:val="24"/>
          <w:szCs w:val="24"/>
        </w:rPr>
        <w:t>s</w:t>
      </w:r>
      <w:r>
        <w:rPr>
          <w:bCs/>
          <w:sz w:val="24"/>
          <w:szCs w:val="24"/>
        </w:rPr>
        <w:t xml:space="preserve"> and adverse events.</w:t>
      </w:r>
    </w:p>
    <w:p w14:paraId="5405F015" w14:textId="4B3F1E8C" w:rsidR="006C4F1F" w:rsidRDefault="006C4F1F" w:rsidP="00706935">
      <w:pPr>
        <w:spacing w:after="120" w:line="360" w:lineRule="auto"/>
        <w:jc w:val="both"/>
        <w:rPr>
          <w:bCs/>
          <w:sz w:val="24"/>
          <w:szCs w:val="24"/>
        </w:rPr>
      </w:pPr>
      <w:r>
        <w:rPr>
          <w:bCs/>
          <w:sz w:val="24"/>
          <w:szCs w:val="24"/>
        </w:rPr>
        <w:t xml:space="preserve">Routine </w:t>
      </w:r>
      <w:r w:rsidRPr="00C20172">
        <w:rPr>
          <w:bCs/>
          <w:sz w:val="24"/>
          <w:szCs w:val="24"/>
        </w:rPr>
        <w:t>awareness among healthcare professionals can be raised through meeting</w:t>
      </w:r>
      <w:r w:rsidR="00D20420">
        <w:rPr>
          <w:bCs/>
          <w:sz w:val="24"/>
          <w:szCs w:val="24"/>
        </w:rPr>
        <w:t>s</w:t>
      </w:r>
      <w:r w:rsidRPr="00C20172">
        <w:rPr>
          <w:bCs/>
          <w:sz w:val="24"/>
          <w:szCs w:val="24"/>
        </w:rPr>
        <w:t>, sy</w:t>
      </w:r>
      <w:r>
        <w:rPr>
          <w:bCs/>
          <w:sz w:val="24"/>
          <w:szCs w:val="24"/>
        </w:rPr>
        <w:t>mposium</w:t>
      </w:r>
      <w:r w:rsidR="00D20420">
        <w:rPr>
          <w:bCs/>
          <w:sz w:val="24"/>
          <w:szCs w:val="24"/>
        </w:rPr>
        <w:t>s</w:t>
      </w:r>
      <w:r>
        <w:rPr>
          <w:bCs/>
          <w:sz w:val="24"/>
          <w:szCs w:val="24"/>
        </w:rPr>
        <w:t xml:space="preserve">, face to face training. </w:t>
      </w:r>
      <w:r w:rsidRPr="00C20172">
        <w:rPr>
          <w:bCs/>
          <w:sz w:val="24"/>
          <w:szCs w:val="24"/>
        </w:rPr>
        <w:t xml:space="preserve">Pamphlets and posters that encourage reporting </w:t>
      </w:r>
      <w:r w:rsidR="006D0733">
        <w:rPr>
          <w:bCs/>
          <w:sz w:val="24"/>
          <w:szCs w:val="24"/>
        </w:rPr>
        <w:t>are</w:t>
      </w:r>
      <w:r w:rsidRPr="00C20172">
        <w:rPr>
          <w:bCs/>
          <w:sz w:val="24"/>
          <w:szCs w:val="24"/>
        </w:rPr>
        <w:t xml:space="preserve"> also</w:t>
      </w:r>
      <w:r w:rsidR="006D0733">
        <w:rPr>
          <w:bCs/>
          <w:sz w:val="24"/>
          <w:szCs w:val="24"/>
        </w:rPr>
        <w:t xml:space="preserve"> to</w:t>
      </w:r>
      <w:r w:rsidRPr="00C20172">
        <w:rPr>
          <w:bCs/>
          <w:sz w:val="24"/>
          <w:szCs w:val="24"/>
        </w:rPr>
        <w:t xml:space="preserve"> be circulated in the hospitals to sensitize the healthcare professionals. Those healthcare professionals who report more frequently </w:t>
      </w:r>
      <w:r w:rsidR="00D20420">
        <w:rPr>
          <w:bCs/>
          <w:sz w:val="24"/>
          <w:szCs w:val="24"/>
        </w:rPr>
        <w:t>are</w:t>
      </w:r>
      <w:r w:rsidRPr="00C20172">
        <w:rPr>
          <w:bCs/>
          <w:sz w:val="24"/>
          <w:szCs w:val="24"/>
        </w:rPr>
        <w:t xml:space="preserve"> appreciated either through a letter of appreciation or by awarding a shield. Regular feedback to healthcare professionals is also one of the means to encourage them to report ADRs. </w:t>
      </w:r>
      <w:r w:rsidR="001A00EE">
        <w:rPr>
          <w:bCs/>
          <w:sz w:val="24"/>
          <w:szCs w:val="24"/>
        </w:rPr>
        <w:t xml:space="preserve">The </w:t>
      </w:r>
      <w:r w:rsidRPr="00C20172">
        <w:rPr>
          <w:bCs/>
          <w:sz w:val="24"/>
          <w:szCs w:val="24"/>
        </w:rPr>
        <w:t xml:space="preserve">NPC and PPCs should also run </w:t>
      </w:r>
      <w:r w:rsidR="00D20420">
        <w:rPr>
          <w:bCs/>
          <w:sz w:val="24"/>
          <w:szCs w:val="24"/>
        </w:rPr>
        <w:t xml:space="preserve">an </w:t>
      </w:r>
      <w:r w:rsidRPr="00C20172">
        <w:rPr>
          <w:bCs/>
          <w:sz w:val="24"/>
          <w:szCs w:val="24"/>
        </w:rPr>
        <w:t xml:space="preserve">awareness campaign for healthcare professionals through print and electronic media, in the form of press-note in newspapers highlighting the </w:t>
      </w:r>
      <w:r w:rsidRPr="00C20172">
        <w:rPr>
          <w:bCs/>
          <w:sz w:val="24"/>
          <w:szCs w:val="24"/>
        </w:rPr>
        <w:lastRenderedPageBreak/>
        <w:t>importance of reporting or in the form of short documentar</w:t>
      </w:r>
      <w:r w:rsidR="00D20420">
        <w:rPr>
          <w:bCs/>
          <w:sz w:val="24"/>
          <w:szCs w:val="24"/>
        </w:rPr>
        <w:t>ies</w:t>
      </w:r>
      <w:r w:rsidRPr="00C20172">
        <w:rPr>
          <w:bCs/>
          <w:sz w:val="24"/>
          <w:szCs w:val="24"/>
        </w:rPr>
        <w:t>/videos in electronic media.</w:t>
      </w:r>
    </w:p>
    <w:p w14:paraId="02D83F95" w14:textId="57FA8CA8" w:rsidR="006C4F1F" w:rsidRPr="00C20172" w:rsidRDefault="006C4F1F" w:rsidP="00706935">
      <w:pPr>
        <w:spacing w:after="120" w:line="360" w:lineRule="auto"/>
        <w:jc w:val="both"/>
        <w:rPr>
          <w:bCs/>
          <w:sz w:val="24"/>
          <w:szCs w:val="24"/>
        </w:rPr>
      </w:pPr>
      <w:r w:rsidRPr="00C20172">
        <w:rPr>
          <w:bCs/>
          <w:sz w:val="24"/>
          <w:szCs w:val="24"/>
        </w:rPr>
        <w:t>Healthcare professionals in hospitals can play a crucial role to increase awareness among patients. The Nurse, Pharmacist, and Doctor shall properly counsel their patients about the risk of medicines and should encourage patients to consult them in case they experience any untoward event. NPC and PPCs should launch social mobilization and public awareness campaign</w:t>
      </w:r>
      <w:r w:rsidR="00416203">
        <w:rPr>
          <w:bCs/>
          <w:sz w:val="24"/>
          <w:szCs w:val="24"/>
        </w:rPr>
        <w:t>s</w:t>
      </w:r>
      <w:r w:rsidRPr="00C20172">
        <w:rPr>
          <w:bCs/>
          <w:sz w:val="24"/>
          <w:szCs w:val="24"/>
        </w:rPr>
        <w:t xml:space="preserve"> both in print and electronic media. Circulation of </w:t>
      </w:r>
      <w:r w:rsidR="00416203">
        <w:rPr>
          <w:bCs/>
          <w:sz w:val="24"/>
          <w:szCs w:val="24"/>
        </w:rPr>
        <w:t xml:space="preserve">the </w:t>
      </w:r>
      <w:r w:rsidRPr="00C20172">
        <w:rPr>
          <w:bCs/>
          <w:sz w:val="24"/>
          <w:szCs w:val="24"/>
        </w:rPr>
        <w:t>pamphlet</w:t>
      </w:r>
      <w:r w:rsidR="00416203">
        <w:rPr>
          <w:bCs/>
          <w:sz w:val="24"/>
          <w:szCs w:val="24"/>
        </w:rPr>
        <w:t>s</w:t>
      </w:r>
      <w:r w:rsidRPr="00C20172">
        <w:rPr>
          <w:bCs/>
          <w:sz w:val="24"/>
          <w:szCs w:val="24"/>
        </w:rPr>
        <w:t xml:space="preserve"> at times of public gathering is another effective way to increase awareness among </w:t>
      </w:r>
      <w:r w:rsidR="00416203">
        <w:rPr>
          <w:bCs/>
          <w:sz w:val="24"/>
          <w:szCs w:val="24"/>
        </w:rPr>
        <w:t xml:space="preserve">the </w:t>
      </w:r>
      <w:r w:rsidRPr="00C20172">
        <w:rPr>
          <w:bCs/>
          <w:sz w:val="24"/>
          <w:szCs w:val="24"/>
        </w:rPr>
        <w:t xml:space="preserve">public. In addition, awareness among </w:t>
      </w:r>
      <w:r w:rsidR="00416203">
        <w:rPr>
          <w:bCs/>
          <w:sz w:val="24"/>
          <w:szCs w:val="24"/>
        </w:rPr>
        <w:t xml:space="preserve">the </w:t>
      </w:r>
      <w:r w:rsidRPr="00C20172">
        <w:rPr>
          <w:bCs/>
          <w:sz w:val="24"/>
          <w:szCs w:val="24"/>
        </w:rPr>
        <w:t>general public can also be raised through posters, billboards or educational campaign</w:t>
      </w:r>
      <w:r w:rsidR="00416203">
        <w:rPr>
          <w:bCs/>
          <w:sz w:val="24"/>
          <w:szCs w:val="24"/>
        </w:rPr>
        <w:t>s</w:t>
      </w:r>
      <w:r w:rsidRPr="00C20172">
        <w:rPr>
          <w:bCs/>
          <w:sz w:val="24"/>
          <w:szCs w:val="24"/>
        </w:rPr>
        <w:t xml:space="preserve">. Coordination shall also be made with </w:t>
      </w:r>
      <w:r w:rsidR="00416203">
        <w:rPr>
          <w:bCs/>
          <w:sz w:val="24"/>
          <w:szCs w:val="24"/>
        </w:rPr>
        <w:t xml:space="preserve">the </w:t>
      </w:r>
      <w:r w:rsidRPr="00C20172">
        <w:rPr>
          <w:bCs/>
          <w:sz w:val="24"/>
          <w:szCs w:val="24"/>
        </w:rPr>
        <w:t>civil society of Pakistan to arrange marathon</w:t>
      </w:r>
      <w:r w:rsidR="00416203">
        <w:rPr>
          <w:bCs/>
          <w:sz w:val="24"/>
          <w:szCs w:val="24"/>
        </w:rPr>
        <w:t>s</w:t>
      </w:r>
      <w:r w:rsidRPr="00C20172">
        <w:rPr>
          <w:bCs/>
          <w:sz w:val="24"/>
          <w:szCs w:val="24"/>
        </w:rPr>
        <w:t>, walks or rall</w:t>
      </w:r>
      <w:r w:rsidR="00416203">
        <w:rPr>
          <w:bCs/>
          <w:sz w:val="24"/>
          <w:szCs w:val="24"/>
        </w:rPr>
        <w:t>ies</w:t>
      </w:r>
      <w:r w:rsidRPr="00C20172">
        <w:rPr>
          <w:bCs/>
          <w:sz w:val="24"/>
          <w:szCs w:val="24"/>
        </w:rPr>
        <w:t xml:space="preserve"> to raise awareness among </w:t>
      </w:r>
      <w:r w:rsidR="00416203">
        <w:rPr>
          <w:bCs/>
          <w:sz w:val="24"/>
          <w:szCs w:val="24"/>
        </w:rPr>
        <w:t xml:space="preserve">the </w:t>
      </w:r>
      <w:r w:rsidRPr="00C20172">
        <w:rPr>
          <w:bCs/>
          <w:sz w:val="24"/>
          <w:szCs w:val="24"/>
        </w:rPr>
        <w:t>general public</w:t>
      </w:r>
      <w:r>
        <w:rPr>
          <w:bCs/>
          <w:sz w:val="24"/>
          <w:szCs w:val="24"/>
        </w:rPr>
        <w:t xml:space="preserve"> on world patient safety day.</w:t>
      </w:r>
    </w:p>
    <w:p w14:paraId="3D0BE476" w14:textId="77777777" w:rsidR="006C4F1F" w:rsidRDefault="006C4F1F" w:rsidP="006C4F1F">
      <w:pPr>
        <w:rPr>
          <w:bCs/>
          <w:szCs w:val="24"/>
        </w:rPr>
      </w:pPr>
      <w:r>
        <w:rPr>
          <w:bCs/>
          <w:szCs w:val="24"/>
        </w:rPr>
        <w:br w:type="page"/>
      </w:r>
    </w:p>
    <w:tbl>
      <w:tblPr>
        <w:tblStyle w:val="TableGrid"/>
        <w:tblW w:w="0" w:type="auto"/>
        <w:tblLook w:val="04A0" w:firstRow="1" w:lastRow="0" w:firstColumn="1" w:lastColumn="0" w:noHBand="0" w:noVBand="1"/>
      </w:tblPr>
      <w:tblGrid>
        <w:gridCol w:w="9350"/>
      </w:tblGrid>
      <w:tr w:rsidR="00A20EB1" w:rsidRPr="008569E1" w14:paraId="06FDCAE3" w14:textId="77777777" w:rsidTr="00A20EB1">
        <w:tc>
          <w:tcPr>
            <w:tcW w:w="9350" w:type="dxa"/>
            <w:shd w:val="clear" w:color="auto" w:fill="00B0F0"/>
          </w:tcPr>
          <w:p w14:paraId="2841FFC4" w14:textId="204F1E19" w:rsidR="00A20EB1" w:rsidRPr="008569E1" w:rsidRDefault="00A20EB1" w:rsidP="00C83B66">
            <w:pPr>
              <w:jc w:val="center"/>
              <w:rPr>
                <w:b/>
                <w:bCs/>
                <w:sz w:val="32"/>
                <w:szCs w:val="32"/>
              </w:rPr>
            </w:pPr>
            <w:r w:rsidRPr="008569E1">
              <w:rPr>
                <w:b/>
                <w:bCs/>
                <w:sz w:val="32"/>
                <w:szCs w:val="32"/>
              </w:rPr>
              <w:lastRenderedPageBreak/>
              <w:t>CHAPTER 10</w:t>
            </w:r>
          </w:p>
        </w:tc>
      </w:tr>
    </w:tbl>
    <w:p w14:paraId="11E468C1" w14:textId="77777777" w:rsidR="00A20EB1" w:rsidRPr="00C36DD7" w:rsidRDefault="00A20EB1" w:rsidP="00A20EB1"/>
    <w:p w14:paraId="2DE4F2BA"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110" w:name="_Toc109904370"/>
      <w:bookmarkStart w:id="111" w:name="_Toc109904662"/>
      <w:bookmarkStart w:id="112" w:name="_Toc109904795"/>
      <w:bookmarkStart w:id="113" w:name="_Toc109905054"/>
      <w:bookmarkStart w:id="114" w:name="_Toc109906859"/>
      <w:bookmarkStart w:id="115" w:name="_Toc109907471"/>
      <w:bookmarkStart w:id="116" w:name="_Toc109907575"/>
      <w:bookmarkStart w:id="117" w:name="_Toc109913048"/>
      <w:bookmarkStart w:id="118" w:name="_Toc109913144"/>
      <w:bookmarkStart w:id="119" w:name="_Toc109913239"/>
      <w:bookmarkStart w:id="120" w:name="_Toc109915760"/>
      <w:bookmarkStart w:id="121" w:name="_Toc109916896"/>
      <w:bookmarkStart w:id="122" w:name="_Toc110236292"/>
      <w:bookmarkStart w:id="123" w:name="_Toc110236341"/>
      <w:bookmarkStart w:id="124" w:name="_Toc110242993"/>
      <w:bookmarkStart w:id="125" w:name="_Toc110243082"/>
      <w:bookmarkStart w:id="126" w:name="_Toc110243236"/>
      <w:bookmarkStart w:id="127" w:name="_Toc110243275"/>
      <w:bookmarkStart w:id="128" w:name="_Toc110243315"/>
      <w:bookmarkStart w:id="129" w:name="_Toc110243354"/>
      <w:bookmarkStart w:id="130" w:name="_Toc110243390"/>
      <w:bookmarkStart w:id="131" w:name="_Toc110243425"/>
      <w:bookmarkStart w:id="132" w:name="_Toc110243475"/>
      <w:bookmarkStart w:id="133" w:name="_Toc110243547"/>
      <w:bookmarkStart w:id="134" w:name="_Toc110243606"/>
      <w:bookmarkStart w:id="135" w:name="_Toc110243639"/>
      <w:bookmarkStart w:id="136" w:name="_Toc110245495"/>
      <w:bookmarkStart w:id="137" w:name="_Toc11032993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D577808"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138" w:name="_Toc109904371"/>
      <w:bookmarkStart w:id="139" w:name="_Toc109904663"/>
      <w:bookmarkStart w:id="140" w:name="_Toc109904796"/>
      <w:bookmarkStart w:id="141" w:name="_Toc109905055"/>
      <w:bookmarkStart w:id="142" w:name="_Toc109906860"/>
      <w:bookmarkStart w:id="143" w:name="_Toc109907472"/>
      <w:bookmarkStart w:id="144" w:name="_Toc109907576"/>
      <w:bookmarkStart w:id="145" w:name="_Toc109913049"/>
      <w:bookmarkStart w:id="146" w:name="_Toc109913145"/>
      <w:bookmarkStart w:id="147" w:name="_Toc109913240"/>
      <w:bookmarkStart w:id="148" w:name="_Toc109915761"/>
      <w:bookmarkStart w:id="149" w:name="_Toc109916897"/>
      <w:bookmarkStart w:id="150" w:name="_Toc110236293"/>
      <w:bookmarkStart w:id="151" w:name="_Toc110236342"/>
      <w:bookmarkStart w:id="152" w:name="_Toc110242994"/>
      <w:bookmarkStart w:id="153" w:name="_Toc110243083"/>
      <w:bookmarkStart w:id="154" w:name="_Toc110243237"/>
      <w:bookmarkStart w:id="155" w:name="_Toc110243276"/>
      <w:bookmarkStart w:id="156" w:name="_Toc110243316"/>
      <w:bookmarkStart w:id="157" w:name="_Toc110243355"/>
      <w:bookmarkStart w:id="158" w:name="_Toc110243391"/>
      <w:bookmarkStart w:id="159" w:name="_Toc110243426"/>
      <w:bookmarkStart w:id="160" w:name="_Toc110243476"/>
      <w:bookmarkStart w:id="161" w:name="_Toc110243548"/>
      <w:bookmarkStart w:id="162" w:name="_Toc110243607"/>
      <w:bookmarkStart w:id="163" w:name="_Toc110243640"/>
      <w:bookmarkStart w:id="164" w:name="_Toc110245496"/>
      <w:bookmarkStart w:id="165" w:name="_Toc11032993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2799645B"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166" w:name="_Toc109904372"/>
      <w:bookmarkStart w:id="167" w:name="_Toc109904664"/>
      <w:bookmarkStart w:id="168" w:name="_Toc109904797"/>
      <w:bookmarkStart w:id="169" w:name="_Toc109905056"/>
      <w:bookmarkStart w:id="170" w:name="_Toc109906861"/>
      <w:bookmarkStart w:id="171" w:name="_Toc109907473"/>
      <w:bookmarkStart w:id="172" w:name="_Toc109907577"/>
      <w:bookmarkStart w:id="173" w:name="_Toc109913050"/>
      <w:bookmarkStart w:id="174" w:name="_Toc109913146"/>
      <w:bookmarkStart w:id="175" w:name="_Toc109913241"/>
      <w:bookmarkStart w:id="176" w:name="_Toc109915762"/>
      <w:bookmarkStart w:id="177" w:name="_Toc109916898"/>
      <w:bookmarkStart w:id="178" w:name="_Toc110236294"/>
      <w:bookmarkStart w:id="179" w:name="_Toc110236343"/>
      <w:bookmarkStart w:id="180" w:name="_Toc110242995"/>
      <w:bookmarkStart w:id="181" w:name="_Toc110243084"/>
      <w:bookmarkStart w:id="182" w:name="_Toc110243238"/>
      <w:bookmarkStart w:id="183" w:name="_Toc110243277"/>
      <w:bookmarkStart w:id="184" w:name="_Toc110243317"/>
      <w:bookmarkStart w:id="185" w:name="_Toc110243356"/>
      <w:bookmarkStart w:id="186" w:name="_Toc110243392"/>
      <w:bookmarkStart w:id="187" w:name="_Toc110243427"/>
      <w:bookmarkStart w:id="188" w:name="_Toc110243477"/>
      <w:bookmarkStart w:id="189" w:name="_Toc110243549"/>
      <w:bookmarkStart w:id="190" w:name="_Toc110243608"/>
      <w:bookmarkStart w:id="191" w:name="_Toc110243641"/>
      <w:bookmarkStart w:id="192" w:name="_Toc110245497"/>
      <w:bookmarkStart w:id="193" w:name="_Toc1103299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462DA43"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194" w:name="_Toc109904373"/>
      <w:bookmarkStart w:id="195" w:name="_Toc109904665"/>
      <w:bookmarkStart w:id="196" w:name="_Toc109904798"/>
      <w:bookmarkStart w:id="197" w:name="_Toc109905057"/>
      <w:bookmarkStart w:id="198" w:name="_Toc109906862"/>
      <w:bookmarkStart w:id="199" w:name="_Toc109907474"/>
      <w:bookmarkStart w:id="200" w:name="_Toc109907578"/>
      <w:bookmarkStart w:id="201" w:name="_Toc109913051"/>
      <w:bookmarkStart w:id="202" w:name="_Toc109913147"/>
      <w:bookmarkStart w:id="203" w:name="_Toc109913242"/>
      <w:bookmarkStart w:id="204" w:name="_Toc109915763"/>
      <w:bookmarkStart w:id="205" w:name="_Toc109916899"/>
      <w:bookmarkStart w:id="206" w:name="_Toc110236295"/>
      <w:bookmarkStart w:id="207" w:name="_Toc110236344"/>
      <w:bookmarkStart w:id="208" w:name="_Toc110242996"/>
      <w:bookmarkStart w:id="209" w:name="_Toc110243085"/>
      <w:bookmarkStart w:id="210" w:name="_Toc110243239"/>
      <w:bookmarkStart w:id="211" w:name="_Toc110243278"/>
      <w:bookmarkStart w:id="212" w:name="_Toc110243318"/>
      <w:bookmarkStart w:id="213" w:name="_Toc110243357"/>
      <w:bookmarkStart w:id="214" w:name="_Toc110243393"/>
      <w:bookmarkStart w:id="215" w:name="_Toc110243428"/>
      <w:bookmarkStart w:id="216" w:name="_Toc110243478"/>
      <w:bookmarkStart w:id="217" w:name="_Toc110243550"/>
      <w:bookmarkStart w:id="218" w:name="_Toc110243609"/>
      <w:bookmarkStart w:id="219" w:name="_Toc110243642"/>
      <w:bookmarkStart w:id="220" w:name="_Toc110245498"/>
      <w:bookmarkStart w:id="221" w:name="_Toc110329938"/>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9EB7E79"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222" w:name="_Toc109904374"/>
      <w:bookmarkStart w:id="223" w:name="_Toc109904666"/>
      <w:bookmarkStart w:id="224" w:name="_Toc109904799"/>
      <w:bookmarkStart w:id="225" w:name="_Toc109905058"/>
      <w:bookmarkStart w:id="226" w:name="_Toc109906863"/>
      <w:bookmarkStart w:id="227" w:name="_Toc109907475"/>
      <w:bookmarkStart w:id="228" w:name="_Toc109907579"/>
      <w:bookmarkStart w:id="229" w:name="_Toc109913052"/>
      <w:bookmarkStart w:id="230" w:name="_Toc109913148"/>
      <w:bookmarkStart w:id="231" w:name="_Toc109913243"/>
      <w:bookmarkStart w:id="232" w:name="_Toc109915764"/>
      <w:bookmarkStart w:id="233" w:name="_Toc109916900"/>
      <w:bookmarkStart w:id="234" w:name="_Toc110236296"/>
      <w:bookmarkStart w:id="235" w:name="_Toc110236345"/>
      <w:bookmarkStart w:id="236" w:name="_Toc110242997"/>
      <w:bookmarkStart w:id="237" w:name="_Toc110243086"/>
      <w:bookmarkStart w:id="238" w:name="_Toc110243240"/>
      <w:bookmarkStart w:id="239" w:name="_Toc110243279"/>
      <w:bookmarkStart w:id="240" w:name="_Toc110243319"/>
      <w:bookmarkStart w:id="241" w:name="_Toc110243358"/>
      <w:bookmarkStart w:id="242" w:name="_Toc110243394"/>
      <w:bookmarkStart w:id="243" w:name="_Toc110243429"/>
      <w:bookmarkStart w:id="244" w:name="_Toc110243479"/>
      <w:bookmarkStart w:id="245" w:name="_Toc110243551"/>
      <w:bookmarkStart w:id="246" w:name="_Toc110243610"/>
      <w:bookmarkStart w:id="247" w:name="_Toc110243643"/>
      <w:bookmarkStart w:id="248" w:name="_Toc110245499"/>
      <w:bookmarkStart w:id="249" w:name="_Toc110329939"/>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2F72AAE"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250" w:name="_Toc109904375"/>
      <w:bookmarkStart w:id="251" w:name="_Toc109904667"/>
      <w:bookmarkStart w:id="252" w:name="_Toc109904800"/>
      <w:bookmarkStart w:id="253" w:name="_Toc109905059"/>
      <w:bookmarkStart w:id="254" w:name="_Toc109906864"/>
      <w:bookmarkStart w:id="255" w:name="_Toc109907476"/>
      <w:bookmarkStart w:id="256" w:name="_Toc109907580"/>
      <w:bookmarkStart w:id="257" w:name="_Toc109913053"/>
      <w:bookmarkStart w:id="258" w:name="_Toc109913149"/>
      <w:bookmarkStart w:id="259" w:name="_Toc109913244"/>
      <w:bookmarkStart w:id="260" w:name="_Toc109915765"/>
      <w:bookmarkStart w:id="261" w:name="_Toc109916901"/>
      <w:bookmarkStart w:id="262" w:name="_Toc110236297"/>
      <w:bookmarkStart w:id="263" w:name="_Toc110236346"/>
      <w:bookmarkStart w:id="264" w:name="_Toc110242998"/>
      <w:bookmarkStart w:id="265" w:name="_Toc110243087"/>
      <w:bookmarkStart w:id="266" w:name="_Toc110243241"/>
      <w:bookmarkStart w:id="267" w:name="_Toc110243280"/>
      <w:bookmarkStart w:id="268" w:name="_Toc110243320"/>
      <w:bookmarkStart w:id="269" w:name="_Toc110243359"/>
      <w:bookmarkStart w:id="270" w:name="_Toc110243395"/>
      <w:bookmarkStart w:id="271" w:name="_Toc110243430"/>
      <w:bookmarkStart w:id="272" w:name="_Toc110243480"/>
      <w:bookmarkStart w:id="273" w:name="_Toc110243552"/>
      <w:bookmarkStart w:id="274" w:name="_Toc110243611"/>
      <w:bookmarkStart w:id="275" w:name="_Toc110243644"/>
      <w:bookmarkStart w:id="276" w:name="_Toc110245500"/>
      <w:bookmarkStart w:id="277" w:name="_Toc110329940"/>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1E2E3"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278" w:name="_Toc109904376"/>
      <w:bookmarkStart w:id="279" w:name="_Toc109904668"/>
      <w:bookmarkStart w:id="280" w:name="_Toc109904801"/>
      <w:bookmarkStart w:id="281" w:name="_Toc109905060"/>
      <w:bookmarkStart w:id="282" w:name="_Toc109906865"/>
      <w:bookmarkStart w:id="283" w:name="_Toc109907477"/>
      <w:bookmarkStart w:id="284" w:name="_Toc109907581"/>
      <w:bookmarkStart w:id="285" w:name="_Toc109913054"/>
      <w:bookmarkStart w:id="286" w:name="_Toc109913150"/>
      <w:bookmarkStart w:id="287" w:name="_Toc109913245"/>
      <w:bookmarkStart w:id="288" w:name="_Toc109915766"/>
      <w:bookmarkStart w:id="289" w:name="_Toc109916902"/>
      <w:bookmarkStart w:id="290" w:name="_Toc110236298"/>
      <w:bookmarkStart w:id="291" w:name="_Toc110236347"/>
      <w:bookmarkStart w:id="292" w:name="_Toc110242999"/>
      <w:bookmarkStart w:id="293" w:name="_Toc110243088"/>
      <w:bookmarkStart w:id="294" w:name="_Toc110243242"/>
      <w:bookmarkStart w:id="295" w:name="_Toc110243281"/>
      <w:bookmarkStart w:id="296" w:name="_Toc110243321"/>
      <w:bookmarkStart w:id="297" w:name="_Toc110243360"/>
      <w:bookmarkStart w:id="298" w:name="_Toc110243396"/>
      <w:bookmarkStart w:id="299" w:name="_Toc110243431"/>
      <w:bookmarkStart w:id="300" w:name="_Toc110243481"/>
      <w:bookmarkStart w:id="301" w:name="_Toc110243553"/>
      <w:bookmarkStart w:id="302" w:name="_Toc110243612"/>
      <w:bookmarkStart w:id="303" w:name="_Toc110243645"/>
      <w:bookmarkStart w:id="304" w:name="_Toc110245501"/>
      <w:bookmarkStart w:id="305" w:name="_Toc110329941"/>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7D8F812C"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306" w:name="_Toc109904377"/>
      <w:bookmarkStart w:id="307" w:name="_Toc109904669"/>
      <w:bookmarkStart w:id="308" w:name="_Toc109904802"/>
      <w:bookmarkStart w:id="309" w:name="_Toc109905061"/>
      <w:bookmarkStart w:id="310" w:name="_Toc109906866"/>
      <w:bookmarkStart w:id="311" w:name="_Toc109907478"/>
      <w:bookmarkStart w:id="312" w:name="_Toc109907582"/>
      <w:bookmarkStart w:id="313" w:name="_Toc109913055"/>
      <w:bookmarkStart w:id="314" w:name="_Toc109913151"/>
      <w:bookmarkStart w:id="315" w:name="_Toc109913246"/>
      <w:bookmarkStart w:id="316" w:name="_Toc109915767"/>
      <w:bookmarkStart w:id="317" w:name="_Toc109916903"/>
      <w:bookmarkStart w:id="318" w:name="_Toc110236299"/>
      <w:bookmarkStart w:id="319" w:name="_Toc110236348"/>
      <w:bookmarkStart w:id="320" w:name="_Toc110243000"/>
      <w:bookmarkStart w:id="321" w:name="_Toc110243089"/>
      <w:bookmarkStart w:id="322" w:name="_Toc110243243"/>
      <w:bookmarkStart w:id="323" w:name="_Toc110243282"/>
      <w:bookmarkStart w:id="324" w:name="_Toc110243322"/>
      <w:bookmarkStart w:id="325" w:name="_Toc110243361"/>
      <w:bookmarkStart w:id="326" w:name="_Toc110243397"/>
      <w:bookmarkStart w:id="327" w:name="_Toc110243432"/>
      <w:bookmarkStart w:id="328" w:name="_Toc110243482"/>
      <w:bookmarkStart w:id="329" w:name="_Toc110243554"/>
      <w:bookmarkStart w:id="330" w:name="_Toc110243613"/>
      <w:bookmarkStart w:id="331" w:name="_Toc110243646"/>
      <w:bookmarkStart w:id="332" w:name="_Toc110245502"/>
      <w:bookmarkStart w:id="333" w:name="_Toc110329942"/>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22C22C22" w14:textId="77777777" w:rsidR="002D61BE" w:rsidRPr="002D61BE" w:rsidRDefault="002D61BE" w:rsidP="00B551AA">
      <w:pPr>
        <w:pStyle w:val="ListParagraph"/>
        <w:numPr>
          <w:ilvl w:val="0"/>
          <w:numId w:val="69"/>
        </w:numPr>
        <w:tabs>
          <w:tab w:val="left" w:pos="450"/>
        </w:tabs>
        <w:contextualSpacing w:val="0"/>
        <w:jc w:val="both"/>
        <w:outlineLvl w:val="0"/>
        <w:rPr>
          <w:rFonts w:asciiTheme="majorBidi" w:hAnsiTheme="majorBidi" w:cstheme="majorBidi"/>
          <w:b/>
          <w:bCs/>
          <w:vanish/>
          <w:sz w:val="32"/>
          <w:szCs w:val="32"/>
        </w:rPr>
      </w:pPr>
      <w:bookmarkStart w:id="334" w:name="_Toc109904378"/>
      <w:bookmarkStart w:id="335" w:name="_Toc109904670"/>
      <w:bookmarkStart w:id="336" w:name="_Toc109904803"/>
      <w:bookmarkStart w:id="337" w:name="_Toc109905062"/>
      <w:bookmarkStart w:id="338" w:name="_Toc109906867"/>
      <w:bookmarkStart w:id="339" w:name="_Toc109907479"/>
      <w:bookmarkStart w:id="340" w:name="_Toc109907583"/>
      <w:bookmarkStart w:id="341" w:name="_Toc109913056"/>
      <w:bookmarkStart w:id="342" w:name="_Toc109913152"/>
      <w:bookmarkStart w:id="343" w:name="_Toc109913247"/>
      <w:bookmarkStart w:id="344" w:name="_Toc109915768"/>
      <w:bookmarkStart w:id="345" w:name="_Toc109916904"/>
      <w:bookmarkStart w:id="346" w:name="_Toc110236300"/>
      <w:bookmarkStart w:id="347" w:name="_Toc110236349"/>
      <w:bookmarkStart w:id="348" w:name="_Toc110243001"/>
      <w:bookmarkStart w:id="349" w:name="_Toc110243090"/>
      <w:bookmarkStart w:id="350" w:name="_Toc110243244"/>
      <w:bookmarkStart w:id="351" w:name="_Toc110243283"/>
      <w:bookmarkStart w:id="352" w:name="_Toc110243323"/>
      <w:bookmarkStart w:id="353" w:name="_Toc110243362"/>
      <w:bookmarkStart w:id="354" w:name="_Toc110243398"/>
      <w:bookmarkStart w:id="355" w:name="_Toc110243433"/>
      <w:bookmarkStart w:id="356" w:name="_Toc110243483"/>
      <w:bookmarkStart w:id="357" w:name="_Toc110243555"/>
      <w:bookmarkStart w:id="358" w:name="_Toc110243614"/>
      <w:bookmarkStart w:id="359" w:name="_Toc110243647"/>
      <w:bookmarkStart w:id="360" w:name="_Toc110245503"/>
      <w:bookmarkStart w:id="361" w:name="_Toc11032994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0C485897" w14:textId="59571F67" w:rsidR="006C4F1F" w:rsidRPr="006635C4" w:rsidRDefault="00980E33" w:rsidP="00B551AA">
      <w:pPr>
        <w:pStyle w:val="ListParagraph"/>
        <w:numPr>
          <w:ilvl w:val="0"/>
          <w:numId w:val="72"/>
        </w:numPr>
        <w:ind w:left="270" w:hanging="270"/>
        <w:jc w:val="both"/>
        <w:rPr>
          <w:rStyle w:val="Level1DRAPChar"/>
          <w:b w:val="0"/>
        </w:rPr>
      </w:pPr>
      <w:bookmarkStart w:id="362" w:name="_Toc110329944"/>
      <w:r w:rsidRPr="006635C4">
        <w:rPr>
          <w:rStyle w:val="Level1DRAPChar"/>
          <w:bCs/>
        </w:rPr>
        <w:t>COLLABORATION WITH INTERNATIONAL STAKEHOLDERS</w:t>
      </w:r>
      <w:r w:rsidR="006C4F1F" w:rsidRPr="006635C4">
        <w:rPr>
          <w:rStyle w:val="Level1DRAPChar"/>
          <w:b w:val="0"/>
        </w:rPr>
        <w:t>.</w:t>
      </w:r>
      <w:bookmarkEnd w:id="362"/>
    </w:p>
    <w:p w14:paraId="678CF144" w14:textId="77777777" w:rsidR="009100B6" w:rsidRPr="009100B6" w:rsidRDefault="009100B6" w:rsidP="009100B6"/>
    <w:p w14:paraId="68AC8E47" w14:textId="581CDDA4" w:rsidR="009100B6" w:rsidRPr="008569E1" w:rsidRDefault="008569E1" w:rsidP="008569E1">
      <w:pPr>
        <w:rPr>
          <w:b/>
          <w:bCs/>
          <w:color w:val="000000" w:themeColor="text1"/>
          <w:sz w:val="30"/>
          <w:szCs w:val="30"/>
          <w:u w:val="single"/>
        </w:rPr>
      </w:pPr>
      <w:r w:rsidRPr="008569E1">
        <w:rPr>
          <w:b/>
          <w:bCs/>
          <w:sz w:val="30"/>
          <w:szCs w:val="30"/>
          <w:u w:val="single"/>
        </w:rPr>
        <w:t xml:space="preserve">10.1 </w:t>
      </w:r>
      <w:r w:rsidR="006C4F1F" w:rsidRPr="008569E1">
        <w:rPr>
          <w:b/>
          <w:bCs/>
          <w:sz w:val="30"/>
          <w:szCs w:val="30"/>
          <w:u w:val="single"/>
        </w:rPr>
        <w:t>World Health Organization</w:t>
      </w:r>
    </w:p>
    <w:p w14:paraId="4A490E48" w14:textId="65994F82" w:rsidR="00F563CD" w:rsidRDefault="00C8539F" w:rsidP="008F6E7A">
      <w:pPr>
        <w:spacing w:line="360" w:lineRule="auto"/>
        <w:jc w:val="both"/>
        <w:rPr>
          <w:b/>
          <w:bCs/>
          <w:color w:val="000000" w:themeColor="text1"/>
          <w:sz w:val="24"/>
          <w:szCs w:val="24"/>
        </w:rPr>
      </w:pPr>
      <w:r>
        <w:rPr>
          <w:bCs/>
          <w:color w:val="000000" w:themeColor="text1"/>
          <w:sz w:val="24"/>
          <w:szCs w:val="24"/>
        </w:rPr>
        <w:t xml:space="preserve">The </w:t>
      </w:r>
      <w:r w:rsidR="006C4F1F" w:rsidRPr="00F563CD">
        <w:rPr>
          <w:bCs/>
          <w:color w:val="000000" w:themeColor="text1"/>
          <w:sz w:val="24"/>
          <w:szCs w:val="24"/>
        </w:rPr>
        <w:t xml:space="preserve">World Health Organization (WHO) is the custodian of </w:t>
      </w:r>
      <w:r w:rsidR="008F7697">
        <w:rPr>
          <w:bCs/>
          <w:color w:val="000000" w:themeColor="text1"/>
          <w:sz w:val="24"/>
          <w:szCs w:val="24"/>
        </w:rPr>
        <w:t xml:space="preserve">the </w:t>
      </w:r>
      <w:r w:rsidR="006C4F1F" w:rsidRPr="00F563CD">
        <w:rPr>
          <w:bCs/>
          <w:color w:val="000000" w:themeColor="text1"/>
          <w:sz w:val="24"/>
          <w:szCs w:val="24"/>
        </w:rPr>
        <w:t xml:space="preserve">World Health Organization Programme for International Drug Monitoring (WHO-PIDM) </w:t>
      </w:r>
      <w:r w:rsidR="008F7697">
        <w:rPr>
          <w:bCs/>
          <w:color w:val="000000" w:themeColor="text1"/>
          <w:sz w:val="24"/>
          <w:szCs w:val="24"/>
        </w:rPr>
        <w:t>which</w:t>
      </w:r>
      <w:r w:rsidR="006C4F1F" w:rsidRPr="00F563CD">
        <w:rPr>
          <w:bCs/>
          <w:color w:val="000000" w:themeColor="text1"/>
          <w:sz w:val="24"/>
          <w:szCs w:val="24"/>
        </w:rPr>
        <w:t xml:space="preserve"> was started in 1968 in the aftermath of </w:t>
      </w:r>
      <w:r w:rsidR="008F7697">
        <w:rPr>
          <w:bCs/>
          <w:color w:val="000000" w:themeColor="text1"/>
          <w:sz w:val="24"/>
          <w:szCs w:val="24"/>
        </w:rPr>
        <w:t xml:space="preserve">the </w:t>
      </w:r>
      <w:r w:rsidR="006C4F1F" w:rsidRPr="00F563CD">
        <w:rPr>
          <w:bCs/>
          <w:color w:val="000000" w:themeColor="text1"/>
          <w:sz w:val="24"/>
          <w:szCs w:val="24"/>
        </w:rPr>
        <w:t xml:space="preserve">thalidomide tragedy. Membership </w:t>
      </w:r>
      <w:r>
        <w:rPr>
          <w:bCs/>
          <w:color w:val="000000" w:themeColor="text1"/>
          <w:sz w:val="24"/>
          <w:szCs w:val="24"/>
        </w:rPr>
        <w:t>in</w:t>
      </w:r>
      <w:r w:rsidR="006C4F1F" w:rsidRPr="00F563CD">
        <w:rPr>
          <w:bCs/>
          <w:color w:val="000000" w:themeColor="text1"/>
          <w:sz w:val="24"/>
          <w:szCs w:val="24"/>
        </w:rPr>
        <w:t xml:space="preserve"> this programme is only provided to WHO members countries. Uppsala Monitoring Centre (UMC), Sweden is responsible to provide operational support to WHO-PIDM, whereas, WHO retained full responsibilities </w:t>
      </w:r>
      <w:r w:rsidR="008F7697">
        <w:rPr>
          <w:bCs/>
          <w:color w:val="000000" w:themeColor="text1"/>
          <w:sz w:val="24"/>
          <w:szCs w:val="24"/>
        </w:rPr>
        <w:t>for</w:t>
      </w:r>
      <w:r w:rsidR="006C4F1F" w:rsidRPr="00F563CD">
        <w:rPr>
          <w:bCs/>
          <w:color w:val="000000" w:themeColor="text1"/>
          <w:sz w:val="24"/>
          <w:szCs w:val="24"/>
        </w:rPr>
        <w:t xml:space="preserve"> the policy, coordination, and dissemination of information. T</w:t>
      </w:r>
      <w:r w:rsidR="006C4F1F" w:rsidRPr="00F563CD">
        <w:rPr>
          <w:color w:val="000000" w:themeColor="text1"/>
          <w:sz w:val="24"/>
          <w:szCs w:val="24"/>
          <w:shd w:val="clear" w:color="auto" w:fill="FFFFFF"/>
        </w:rPr>
        <w:t>he WHO Essential Medicines and Health Products (EMP) department works with countries to promote affordable access to quality, safe and effective medicines, vaccines, diagnostics and other medical devices. Under the EMP</w:t>
      </w:r>
      <w:r w:rsidR="008F7697">
        <w:rPr>
          <w:color w:val="000000" w:themeColor="text1"/>
          <w:sz w:val="24"/>
          <w:szCs w:val="24"/>
          <w:shd w:val="clear" w:color="auto" w:fill="FFFFFF"/>
        </w:rPr>
        <w:t>,</w:t>
      </w:r>
      <w:r w:rsidR="006C4F1F" w:rsidRPr="00F563CD">
        <w:rPr>
          <w:color w:val="000000" w:themeColor="text1"/>
          <w:sz w:val="24"/>
          <w:szCs w:val="24"/>
          <w:shd w:val="clear" w:color="auto" w:fill="FFFFFF"/>
        </w:rPr>
        <w:t xml:space="preserve"> </w:t>
      </w:r>
      <w:r w:rsidR="008F7697">
        <w:rPr>
          <w:color w:val="000000" w:themeColor="text1"/>
          <w:sz w:val="24"/>
          <w:szCs w:val="24"/>
          <w:shd w:val="clear" w:color="auto" w:fill="FFFFFF"/>
        </w:rPr>
        <w:t xml:space="preserve">the </w:t>
      </w:r>
      <w:hyperlink r:id="rId92" w:history="1">
        <w:r w:rsidR="008F7697" w:rsidRPr="006C0CC7">
          <w:rPr>
            <w:rStyle w:val="Hyperlink"/>
            <w:sz w:val="24"/>
            <w:szCs w:val="24"/>
            <w:shd w:val="clear" w:color="auto" w:fill="FFFFFF"/>
          </w:rPr>
          <w:t xml:space="preserve">Safety </w:t>
        </w:r>
        <w:r w:rsidR="006C4F1F" w:rsidRPr="006C0CC7">
          <w:rPr>
            <w:rStyle w:val="Hyperlink"/>
            <w:sz w:val="24"/>
            <w:szCs w:val="24"/>
            <w:shd w:val="clear" w:color="auto" w:fill="FFFFFF"/>
          </w:rPr>
          <w:t xml:space="preserve">and </w:t>
        </w:r>
        <w:r w:rsidR="008F7697" w:rsidRPr="006C0CC7">
          <w:rPr>
            <w:rStyle w:val="Hyperlink"/>
            <w:sz w:val="24"/>
            <w:szCs w:val="24"/>
            <w:shd w:val="clear" w:color="auto" w:fill="FFFFFF"/>
          </w:rPr>
          <w:t>Vigilance Section</w:t>
        </w:r>
      </w:hyperlink>
      <w:r w:rsidR="008F7697" w:rsidRPr="00F563CD">
        <w:rPr>
          <w:color w:val="000000" w:themeColor="text1"/>
          <w:sz w:val="24"/>
          <w:szCs w:val="24"/>
          <w:shd w:val="clear" w:color="auto" w:fill="FFFFFF"/>
        </w:rPr>
        <w:t xml:space="preserve"> </w:t>
      </w:r>
      <w:r w:rsidR="006C4F1F" w:rsidRPr="00F563CD">
        <w:rPr>
          <w:color w:val="000000" w:themeColor="text1"/>
          <w:sz w:val="24"/>
          <w:szCs w:val="24"/>
          <w:shd w:val="clear" w:color="auto" w:fill="FFFFFF"/>
        </w:rPr>
        <w:t>is responsible to increase knowledge of real</w:t>
      </w:r>
      <w:r w:rsidR="008F7697">
        <w:rPr>
          <w:color w:val="000000" w:themeColor="text1"/>
          <w:sz w:val="24"/>
          <w:szCs w:val="24"/>
          <w:shd w:val="clear" w:color="auto" w:fill="FFFFFF"/>
        </w:rPr>
        <w:t>-</w:t>
      </w:r>
      <w:r w:rsidR="006C4F1F" w:rsidRPr="00F563CD">
        <w:rPr>
          <w:color w:val="000000" w:themeColor="text1"/>
          <w:sz w:val="24"/>
          <w:szCs w:val="24"/>
          <w:shd w:val="clear" w:color="auto" w:fill="FFFFFF"/>
        </w:rPr>
        <w:t>life adverse events and coordinate</w:t>
      </w:r>
      <w:r w:rsidR="008F7697">
        <w:rPr>
          <w:color w:val="000000" w:themeColor="text1"/>
          <w:sz w:val="24"/>
          <w:szCs w:val="24"/>
          <w:shd w:val="clear" w:color="auto" w:fill="FFFFFF"/>
        </w:rPr>
        <w:t>s</w:t>
      </w:r>
      <w:r w:rsidR="006C4F1F" w:rsidRPr="00F563CD">
        <w:rPr>
          <w:color w:val="000000" w:themeColor="text1"/>
          <w:sz w:val="24"/>
          <w:szCs w:val="24"/>
          <w:shd w:val="clear" w:color="auto" w:fill="FFFFFF"/>
        </w:rPr>
        <w:t xml:space="preserve"> actions taken against adverse events, mitigate risks and protect against substandard</w:t>
      </w:r>
      <w:r w:rsidR="008F7697">
        <w:rPr>
          <w:color w:val="000000" w:themeColor="text1"/>
          <w:sz w:val="24"/>
          <w:szCs w:val="24"/>
          <w:shd w:val="clear" w:color="auto" w:fill="FFFFFF"/>
        </w:rPr>
        <w:t>/</w:t>
      </w:r>
      <w:r w:rsidR="006C4F1F" w:rsidRPr="00F563CD">
        <w:rPr>
          <w:color w:val="000000" w:themeColor="text1"/>
          <w:sz w:val="24"/>
          <w:szCs w:val="24"/>
          <w:shd w:val="clear" w:color="auto" w:fill="FFFFFF"/>
        </w:rPr>
        <w:t xml:space="preserve">falsified products. Work areas of Safety and Vigilance are </w:t>
      </w:r>
      <w:r w:rsidRPr="00F563CD">
        <w:rPr>
          <w:color w:val="000000" w:themeColor="text1"/>
          <w:sz w:val="24"/>
          <w:szCs w:val="24"/>
          <w:shd w:val="clear" w:color="auto" w:fill="FFFFFF"/>
        </w:rPr>
        <w:t xml:space="preserve">medicine </w:t>
      </w:r>
      <w:r w:rsidR="006C4F1F" w:rsidRPr="00F563CD">
        <w:rPr>
          <w:color w:val="000000" w:themeColor="text1"/>
          <w:sz w:val="24"/>
          <w:szCs w:val="24"/>
          <w:shd w:val="clear" w:color="auto" w:fill="FFFFFF"/>
        </w:rPr>
        <w:t xml:space="preserve">safety, </w:t>
      </w:r>
      <w:r w:rsidR="008F7697">
        <w:rPr>
          <w:color w:val="000000" w:themeColor="text1"/>
          <w:sz w:val="24"/>
          <w:szCs w:val="24"/>
          <w:shd w:val="clear" w:color="auto" w:fill="FFFFFF"/>
        </w:rPr>
        <w:t>vaccine</w:t>
      </w:r>
      <w:r w:rsidR="006C4F1F" w:rsidRPr="00F563CD">
        <w:rPr>
          <w:color w:val="000000" w:themeColor="text1"/>
          <w:sz w:val="24"/>
          <w:szCs w:val="24"/>
          <w:shd w:val="clear" w:color="auto" w:fill="FFFFFF"/>
        </w:rPr>
        <w:t xml:space="preserve"> safety and </w:t>
      </w:r>
      <w:r w:rsidRPr="00F563CD">
        <w:rPr>
          <w:color w:val="000000" w:themeColor="text1"/>
          <w:sz w:val="24"/>
          <w:szCs w:val="24"/>
          <w:shd w:val="clear" w:color="auto" w:fill="FFFFFF"/>
        </w:rPr>
        <w:t xml:space="preserve">substandard </w:t>
      </w:r>
      <w:r w:rsidR="006C4F1F" w:rsidRPr="00F563CD">
        <w:rPr>
          <w:color w:val="000000" w:themeColor="text1"/>
          <w:sz w:val="24"/>
          <w:szCs w:val="24"/>
          <w:shd w:val="clear" w:color="auto" w:fill="FFFFFF"/>
        </w:rPr>
        <w:t xml:space="preserve">and </w:t>
      </w:r>
      <w:r w:rsidRPr="00F563CD">
        <w:rPr>
          <w:color w:val="000000" w:themeColor="text1"/>
          <w:sz w:val="24"/>
          <w:szCs w:val="24"/>
          <w:shd w:val="clear" w:color="auto" w:fill="FFFFFF"/>
        </w:rPr>
        <w:t xml:space="preserve">falsified </w:t>
      </w:r>
      <w:r w:rsidR="006C4F1F" w:rsidRPr="00F563CD">
        <w:rPr>
          <w:color w:val="000000" w:themeColor="text1"/>
          <w:sz w:val="24"/>
          <w:szCs w:val="24"/>
          <w:shd w:val="clear" w:color="auto" w:fill="FFFFFF"/>
        </w:rPr>
        <w:t>medicines.</w:t>
      </w:r>
      <w:r w:rsidR="008F7697">
        <w:rPr>
          <w:color w:val="000000" w:themeColor="text1"/>
          <w:sz w:val="24"/>
          <w:szCs w:val="24"/>
          <w:shd w:val="clear" w:color="auto" w:fill="FFFFFF"/>
        </w:rPr>
        <w:t xml:space="preserve"> The</w:t>
      </w:r>
      <w:r w:rsidR="006C4F1F" w:rsidRPr="00F563CD">
        <w:rPr>
          <w:color w:val="000000" w:themeColor="text1"/>
          <w:sz w:val="24"/>
          <w:szCs w:val="24"/>
          <w:shd w:val="clear" w:color="auto" w:fill="FFFFFF"/>
        </w:rPr>
        <w:t xml:space="preserve"> WHO arrange </w:t>
      </w:r>
      <w:r w:rsidR="008F7697">
        <w:rPr>
          <w:color w:val="000000" w:themeColor="text1"/>
          <w:sz w:val="24"/>
          <w:szCs w:val="24"/>
          <w:shd w:val="clear" w:color="auto" w:fill="FFFFFF"/>
        </w:rPr>
        <w:t xml:space="preserve">an </w:t>
      </w:r>
      <w:r w:rsidR="006C4F1F" w:rsidRPr="00F563CD">
        <w:rPr>
          <w:color w:val="000000" w:themeColor="text1"/>
          <w:sz w:val="24"/>
          <w:szCs w:val="24"/>
          <w:shd w:val="clear" w:color="auto" w:fill="FFFFFF"/>
        </w:rPr>
        <w:t>annual meeting of representative</w:t>
      </w:r>
      <w:r w:rsidR="008F7697">
        <w:rPr>
          <w:color w:val="000000" w:themeColor="text1"/>
          <w:sz w:val="24"/>
          <w:szCs w:val="24"/>
          <w:shd w:val="clear" w:color="auto" w:fill="FFFFFF"/>
        </w:rPr>
        <w:t>s</w:t>
      </w:r>
      <w:r w:rsidR="006C4F1F" w:rsidRPr="00F563CD">
        <w:rPr>
          <w:color w:val="000000" w:themeColor="text1"/>
          <w:sz w:val="24"/>
          <w:szCs w:val="24"/>
          <w:shd w:val="clear" w:color="auto" w:fill="FFFFFF"/>
        </w:rPr>
        <w:t xml:space="preserve"> of National </w:t>
      </w:r>
      <w:r w:rsidRPr="00F563CD">
        <w:rPr>
          <w:color w:val="000000" w:themeColor="text1"/>
          <w:sz w:val="24"/>
          <w:szCs w:val="24"/>
          <w:shd w:val="clear" w:color="auto" w:fill="FFFFFF"/>
        </w:rPr>
        <w:t>pharmacovigilance centres</w:t>
      </w:r>
      <w:r>
        <w:rPr>
          <w:color w:val="000000" w:themeColor="text1"/>
          <w:sz w:val="24"/>
          <w:szCs w:val="24"/>
          <w:shd w:val="clear" w:color="auto" w:fill="FFFFFF"/>
        </w:rPr>
        <w:t>,</w:t>
      </w:r>
      <w:r w:rsidRPr="00F563CD">
        <w:rPr>
          <w:color w:val="000000" w:themeColor="text1"/>
          <w:sz w:val="24"/>
          <w:szCs w:val="24"/>
          <w:shd w:val="clear" w:color="auto" w:fill="FFFFFF"/>
        </w:rPr>
        <w:t xml:space="preserve"> </w:t>
      </w:r>
      <w:r w:rsidR="006C4F1F" w:rsidRPr="00F563CD">
        <w:rPr>
          <w:color w:val="000000" w:themeColor="text1"/>
          <w:sz w:val="24"/>
          <w:szCs w:val="24"/>
          <w:shd w:val="clear" w:color="auto" w:fill="FFFFFF"/>
        </w:rPr>
        <w:t>issue</w:t>
      </w:r>
      <w:r w:rsidR="008F7697">
        <w:rPr>
          <w:color w:val="000000" w:themeColor="text1"/>
          <w:sz w:val="24"/>
          <w:szCs w:val="24"/>
          <w:shd w:val="clear" w:color="auto" w:fill="FFFFFF"/>
        </w:rPr>
        <w:t>s</w:t>
      </w:r>
      <w:r w:rsidR="006C4F1F" w:rsidRPr="00F563CD">
        <w:rPr>
          <w:color w:val="000000" w:themeColor="text1"/>
          <w:sz w:val="24"/>
          <w:szCs w:val="24"/>
          <w:shd w:val="clear" w:color="auto" w:fill="FFFFFF"/>
        </w:rPr>
        <w:t xml:space="preserve"> drug safety alerts among the </w:t>
      </w:r>
      <w:r w:rsidR="008F7697" w:rsidRPr="00F563CD">
        <w:rPr>
          <w:color w:val="000000" w:themeColor="text1"/>
          <w:sz w:val="24"/>
          <w:szCs w:val="24"/>
          <w:shd w:val="clear" w:color="auto" w:fill="FFFFFF"/>
        </w:rPr>
        <w:t xml:space="preserve">National </w:t>
      </w:r>
      <w:r w:rsidR="006C4F1F" w:rsidRPr="00F563CD">
        <w:rPr>
          <w:color w:val="000000" w:themeColor="text1"/>
          <w:sz w:val="24"/>
          <w:szCs w:val="24"/>
          <w:shd w:val="clear" w:color="auto" w:fill="FFFFFF"/>
        </w:rPr>
        <w:t xml:space="preserve">centres, and convene </w:t>
      </w:r>
      <w:r w:rsidR="008F7697">
        <w:rPr>
          <w:color w:val="000000" w:themeColor="text1"/>
          <w:sz w:val="24"/>
          <w:szCs w:val="24"/>
          <w:shd w:val="clear" w:color="auto" w:fill="FFFFFF"/>
        </w:rPr>
        <w:t xml:space="preserve">the </w:t>
      </w:r>
      <w:r w:rsidR="006C4F1F" w:rsidRPr="00F563CD">
        <w:rPr>
          <w:color w:val="000000" w:themeColor="text1"/>
          <w:sz w:val="24"/>
          <w:szCs w:val="24"/>
          <w:shd w:val="clear" w:color="auto" w:fill="FFFFFF"/>
        </w:rPr>
        <w:t xml:space="preserve">meeting of </w:t>
      </w:r>
      <w:r w:rsidR="008F7697">
        <w:rPr>
          <w:color w:val="000000" w:themeColor="text1"/>
          <w:sz w:val="24"/>
          <w:szCs w:val="24"/>
          <w:shd w:val="clear" w:color="auto" w:fill="FFFFFF"/>
        </w:rPr>
        <w:t xml:space="preserve">the </w:t>
      </w:r>
      <w:r w:rsidR="006C4F1F" w:rsidRPr="00F563CD">
        <w:rPr>
          <w:color w:val="000000" w:themeColor="text1"/>
          <w:sz w:val="24"/>
          <w:szCs w:val="24"/>
          <w:shd w:val="clear" w:color="auto" w:fill="FFFFFF"/>
        </w:rPr>
        <w:t>Advisory Committee on Safety of Medicinal Products (</w:t>
      </w:r>
      <w:proofErr w:type="spellStart"/>
      <w:r w:rsidR="006C4F1F" w:rsidRPr="00F563CD">
        <w:rPr>
          <w:color w:val="000000" w:themeColor="text1"/>
          <w:sz w:val="24"/>
          <w:szCs w:val="24"/>
          <w:shd w:val="clear" w:color="auto" w:fill="FFFFFF"/>
        </w:rPr>
        <w:t>ACSoMP</w:t>
      </w:r>
      <w:proofErr w:type="spellEnd"/>
      <w:r w:rsidR="006C4F1F" w:rsidRPr="00F563CD">
        <w:rPr>
          <w:color w:val="000000" w:themeColor="text1"/>
          <w:sz w:val="24"/>
          <w:szCs w:val="24"/>
          <w:shd w:val="clear" w:color="auto" w:fill="FFFFFF"/>
        </w:rPr>
        <w:t xml:space="preserve">). The WHO also issue pharmaceutical newsletters, wherein new information on the safety and efficacy of medicines, new signals detected and regulatory actions taken by countries are shared </w:t>
      </w:r>
      <w:r w:rsidR="008F7697">
        <w:rPr>
          <w:color w:val="000000" w:themeColor="text1"/>
          <w:sz w:val="24"/>
          <w:szCs w:val="24"/>
          <w:shd w:val="clear" w:color="auto" w:fill="FFFFFF"/>
        </w:rPr>
        <w:t xml:space="preserve">and </w:t>
      </w:r>
      <w:r w:rsidR="006C4F1F" w:rsidRPr="00F563CD">
        <w:rPr>
          <w:color w:val="000000" w:themeColor="text1"/>
          <w:sz w:val="24"/>
          <w:szCs w:val="24"/>
          <w:shd w:val="clear" w:color="auto" w:fill="FFFFFF"/>
        </w:rPr>
        <w:t xml:space="preserve">published. </w:t>
      </w:r>
      <w:r w:rsidR="008F7697">
        <w:rPr>
          <w:color w:val="000000" w:themeColor="text1"/>
          <w:sz w:val="24"/>
          <w:szCs w:val="24"/>
          <w:shd w:val="clear" w:color="auto" w:fill="FFFFFF"/>
        </w:rPr>
        <w:t xml:space="preserve">The </w:t>
      </w:r>
      <w:r w:rsidR="006C4F1F" w:rsidRPr="00F563CD">
        <w:rPr>
          <w:color w:val="000000" w:themeColor="text1"/>
          <w:sz w:val="24"/>
          <w:szCs w:val="24"/>
          <w:shd w:val="clear" w:color="auto" w:fill="FFFFFF"/>
        </w:rPr>
        <w:t>WHO ha</w:t>
      </w:r>
      <w:r>
        <w:rPr>
          <w:color w:val="000000" w:themeColor="text1"/>
          <w:sz w:val="24"/>
          <w:szCs w:val="24"/>
          <w:shd w:val="clear" w:color="auto" w:fill="FFFFFF"/>
        </w:rPr>
        <w:t>s</w:t>
      </w:r>
      <w:r w:rsidR="006C4F1F" w:rsidRPr="00F563CD">
        <w:rPr>
          <w:color w:val="000000" w:themeColor="text1"/>
          <w:sz w:val="24"/>
          <w:szCs w:val="24"/>
          <w:shd w:val="clear" w:color="auto" w:fill="FFFFFF"/>
        </w:rPr>
        <w:t xml:space="preserve"> also issued guidelines on different aspect</w:t>
      </w:r>
      <w:r w:rsidR="00C07F6E">
        <w:rPr>
          <w:color w:val="000000" w:themeColor="text1"/>
          <w:sz w:val="24"/>
          <w:szCs w:val="24"/>
          <w:shd w:val="clear" w:color="auto" w:fill="FFFFFF"/>
        </w:rPr>
        <w:t>s</w:t>
      </w:r>
      <w:r w:rsidR="006C4F1F" w:rsidRPr="00F563CD">
        <w:rPr>
          <w:color w:val="000000" w:themeColor="text1"/>
          <w:sz w:val="24"/>
          <w:szCs w:val="24"/>
          <w:shd w:val="clear" w:color="auto" w:fill="FFFFFF"/>
        </w:rPr>
        <w:t xml:space="preserve"> of pharmacovigilance. In Pakistan, NPC-DRAP is responsible to coordinate with WHO on the matter of Pharmacovigilance. There are different collaborating centres of WHO, th</w:t>
      </w:r>
      <w:r w:rsidR="00C07F6E">
        <w:rPr>
          <w:color w:val="000000" w:themeColor="text1"/>
          <w:sz w:val="24"/>
          <w:szCs w:val="24"/>
          <w:shd w:val="clear" w:color="auto" w:fill="FFFFFF"/>
        </w:rPr>
        <w:t>at</w:t>
      </w:r>
      <w:r w:rsidR="006C4F1F" w:rsidRPr="00F563CD">
        <w:rPr>
          <w:color w:val="000000" w:themeColor="text1"/>
          <w:sz w:val="24"/>
          <w:szCs w:val="24"/>
          <w:shd w:val="clear" w:color="auto" w:fill="FFFFFF"/>
        </w:rPr>
        <w:t xml:space="preserve"> are also contributing to pharmacovigilance. Uppsala Monitoring Centre (UMC), Sweden is </w:t>
      </w:r>
      <w:r w:rsidR="00C07F6E">
        <w:rPr>
          <w:color w:val="000000" w:themeColor="text1"/>
          <w:sz w:val="24"/>
          <w:szCs w:val="24"/>
          <w:shd w:val="clear" w:color="auto" w:fill="FFFFFF"/>
        </w:rPr>
        <w:t xml:space="preserve">a </w:t>
      </w:r>
      <w:r w:rsidR="006C4F1F" w:rsidRPr="00F563CD">
        <w:rPr>
          <w:color w:val="000000" w:themeColor="text1"/>
          <w:sz w:val="24"/>
          <w:szCs w:val="24"/>
          <w:shd w:val="clear" w:color="auto" w:fill="FFFFFF"/>
        </w:rPr>
        <w:t>WHO collaborating</w:t>
      </w:r>
      <w:r w:rsidR="00E721EE">
        <w:rPr>
          <w:color w:val="000000" w:themeColor="text1"/>
          <w:sz w:val="24"/>
          <w:szCs w:val="24"/>
          <w:shd w:val="clear" w:color="auto" w:fill="FFFFFF"/>
        </w:rPr>
        <w:t xml:space="preserve"> centre</w:t>
      </w:r>
      <w:r w:rsidR="006C4F1F" w:rsidRPr="00F563CD">
        <w:rPr>
          <w:color w:val="000000" w:themeColor="text1"/>
          <w:sz w:val="24"/>
          <w:szCs w:val="24"/>
          <w:shd w:val="clear" w:color="auto" w:fill="FFFFFF"/>
        </w:rPr>
        <w:t xml:space="preserve"> that is responsible to the lead operations, act</w:t>
      </w:r>
      <w:r w:rsidR="00C07F6E">
        <w:rPr>
          <w:color w:val="000000" w:themeColor="text1"/>
          <w:sz w:val="24"/>
          <w:szCs w:val="24"/>
          <w:shd w:val="clear" w:color="auto" w:fill="FFFFFF"/>
        </w:rPr>
        <w:t>ing</w:t>
      </w:r>
      <w:r w:rsidR="006C4F1F" w:rsidRPr="00F563CD">
        <w:rPr>
          <w:color w:val="000000" w:themeColor="text1"/>
          <w:sz w:val="24"/>
          <w:szCs w:val="24"/>
          <w:shd w:val="clear" w:color="auto" w:fill="FFFFFF"/>
        </w:rPr>
        <w:t xml:space="preserve"> as a technical partner, database management, analysis, communication, research and training. WHO </w:t>
      </w:r>
      <w:r w:rsidR="00C07F6E">
        <w:rPr>
          <w:color w:val="000000" w:themeColor="text1"/>
          <w:sz w:val="24"/>
          <w:szCs w:val="24"/>
          <w:shd w:val="clear" w:color="auto" w:fill="FFFFFF"/>
        </w:rPr>
        <w:t>C</w:t>
      </w:r>
      <w:r w:rsidR="006C4F1F" w:rsidRPr="00F563CD">
        <w:rPr>
          <w:color w:val="000000" w:themeColor="text1"/>
          <w:sz w:val="24"/>
          <w:szCs w:val="24"/>
          <w:shd w:val="clear" w:color="auto" w:fill="FFFFFF"/>
        </w:rPr>
        <w:t xml:space="preserve">ollaborating Centre (WHO-CC) </w:t>
      </w:r>
      <w:r w:rsidR="00C07F6E">
        <w:rPr>
          <w:color w:val="000000" w:themeColor="text1"/>
          <w:sz w:val="24"/>
          <w:szCs w:val="24"/>
          <w:shd w:val="clear" w:color="auto" w:fill="FFFFFF"/>
        </w:rPr>
        <w:t>in</w:t>
      </w:r>
      <w:r w:rsidR="006C4F1F" w:rsidRPr="00F563CD">
        <w:rPr>
          <w:color w:val="000000" w:themeColor="text1"/>
          <w:sz w:val="24"/>
          <w:szCs w:val="24"/>
          <w:shd w:val="clear" w:color="auto" w:fill="FFFFFF"/>
        </w:rPr>
        <w:t xml:space="preserve"> Oslo, Norway is responsible for ATC/ DDD training, whereas, WHO-CC Morocco supporting in medication errors, training, country support (Francophone, Arabic), and convergence of pharmacovigilance systems. The last one is WHO CC Lab, in </w:t>
      </w:r>
      <w:r w:rsidR="0091420B">
        <w:rPr>
          <w:color w:val="000000" w:themeColor="text1"/>
          <w:sz w:val="24"/>
          <w:szCs w:val="24"/>
          <w:shd w:val="clear" w:color="auto" w:fill="FFFFFF"/>
        </w:rPr>
        <w:t xml:space="preserve">the </w:t>
      </w:r>
      <w:r w:rsidR="006C4F1F" w:rsidRPr="00F563CD">
        <w:rPr>
          <w:color w:val="000000" w:themeColor="text1"/>
          <w:sz w:val="24"/>
          <w:szCs w:val="24"/>
          <w:shd w:val="clear" w:color="auto" w:fill="FFFFFF"/>
        </w:rPr>
        <w:t>Netherlands working on pharmacovigilance in education and patient reporting.</w:t>
      </w:r>
    </w:p>
    <w:p w14:paraId="2E445F8E" w14:textId="77777777" w:rsidR="004E0B3E" w:rsidRPr="009C28A0" w:rsidRDefault="004E0B3E" w:rsidP="008F6E7A">
      <w:pPr>
        <w:spacing w:line="360" w:lineRule="auto"/>
        <w:jc w:val="both"/>
        <w:rPr>
          <w:b/>
          <w:bCs/>
          <w:color w:val="000000" w:themeColor="text1"/>
          <w:sz w:val="24"/>
          <w:szCs w:val="24"/>
        </w:rPr>
      </w:pPr>
    </w:p>
    <w:p w14:paraId="0A3F346C" w14:textId="7E4F8504" w:rsidR="006C4F1F" w:rsidRPr="00720CB7" w:rsidRDefault="008569E1" w:rsidP="00720CB7">
      <w:pPr>
        <w:rPr>
          <w:b/>
          <w:bCs/>
          <w:sz w:val="28"/>
          <w:szCs w:val="28"/>
          <w:u w:val="single"/>
        </w:rPr>
      </w:pPr>
      <w:r w:rsidRPr="00720CB7">
        <w:rPr>
          <w:b/>
          <w:bCs/>
          <w:sz w:val="28"/>
          <w:szCs w:val="28"/>
          <w:u w:val="single"/>
        </w:rPr>
        <w:lastRenderedPageBreak/>
        <w:t xml:space="preserve">10.2 </w:t>
      </w:r>
      <w:r w:rsidR="006C4F1F" w:rsidRPr="00720CB7">
        <w:rPr>
          <w:b/>
          <w:bCs/>
          <w:sz w:val="28"/>
          <w:szCs w:val="28"/>
          <w:u w:val="single"/>
        </w:rPr>
        <w:t>Uppsala Monitoring Centre (UMC)</w:t>
      </w:r>
    </w:p>
    <w:p w14:paraId="3A03B033" w14:textId="1B37E82B" w:rsidR="00F01BCD" w:rsidRPr="00F563CD" w:rsidRDefault="006C4F1F" w:rsidP="00720CB7">
      <w:pPr>
        <w:spacing w:after="120" w:line="360" w:lineRule="auto"/>
        <w:jc w:val="both"/>
        <w:rPr>
          <w:color w:val="000000" w:themeColor="text1"/>
          <w:sz w:val="24"/>
          <w:szCs w:val="24"/>
          <w:shd w:val="clear" w:color="auto" w:fill="FFFFFF"/>
        </w:rPr>
      </w:pPr>
      <w:r w:rsidRPr="00F563CD">
        <w:rPr>
          <w:color w:val="000000" w:themeColor="text1"/>
          <w:sz w:val="24"/>
          <w:szCs w:val="24"/>
          <w:shd w:val="clear" w:color="auto" w:fill="FFFFFF"/>
        </w:rPr>
        <w:t xml:space="preserve">The </w:t>
      </w:r>
      <w:hyperlink r:id="rId93" w:history="1">
        <w:r w:rsidRPr="00887E40">
          <w:rPr>
            <w:rStyle w:val="Hyperlink"/>
            <w:sz w:val="24"/>
            <w:szCs w:val="24"/>
            <w:shd w:val="clear" w:color="auto" w:fill="FFFFFF"/>
          </w:rPr>
          <w:t>Uppsala Monitoring Centre (UMC</w:t>
        </w:r>
      </w:hyperlink>
      <w:r w:rsidRPr="00F563CD">
        <w:rPr>
          <w:color w:val="000000" w:themeColor="text1"/>
          <w:sz w:val="24"/>
          <w:szCs w:val="24"/>
          <w:shd w:val="clear" w:color="auto" w:fill="FFFFFF"/>
        </w:rPr>
        <w:t xml:space="preserve">) is an independent, non-profit foundation and a centre for international service and scientific research that is dedicated to promoting safer use of medicines for patients everywhere, using the science of pharmacovigilance to explore and understand the risks and benefits of medicines. UMC was established in Uppsala, Sweden in 1978 as the World Health Organization (WHO) Collaborating Centre for International Drug Monitoring. </w:t>
      </w:r>
      <w:r w:rsidR="00883F2B">
        <w:rPr>
          <w:color w:val="000000" w:themeColor="text1"/>
          <w:sz w:val="24"/>
          <w:szCs w:val="24"/>
          <w:shd w:val="clear" w:color="auto" w:fill="FFFFFF"/>
        </w:rPr>
        <w:t xml:space="preserve">The </w:t>
      </w:r>
      <w:r w:rsidRPr="00F563CD">
        <w:rPr>
          <w:color w:val="000000" w:themeColor="text1"/>
          <w:sz w:val="24"/>
          <w:szCs w:val="24"/>
          <w:shd w:val="clear" w:color="auto" w:fill="FFFFFF"/>
        </w:rPr>
        <w:t xml:space="preserve">UMC operates the technical and scientific aspects of the WHO’s worldwide pharmacovigilance network. It provides scientific leadership and operational support to the </w:t>
      </w:r>
      <w:hyperlink r:id="rId94" w:anchor=":~:text=The%20WHO%20Programme%20for%20International%20Drug%20Monitoring%20(WHO%20PIDM)%20is,99%25%20of%20the%20world's%20population." w:history="1">
        <w:r w:rsidRPr="0068782B">
          <w:rPr>
            <w:rStyle w:val="Hyperlink"/>
            <w:sz w:val="24"/>
            <w:szCs w:val="24"/>
            <w:shd w:val="clear" w:color="auto" w:fill="FFFFFF"/>
          </w:rPr>
          <w:t>WHO Programme for International Drug Monitoring (WHO-PIDM</w:t>
        </w:r>
        <w:r w:rsidR="005725B1" w:rsidRPr="0068782B">
          <w:rPr>
            <w:rStyle w:val="Hyperlink"/>
            <w:sz w:val="24"/>
            <w:szCs w:val="24"/>
            <w:shd w:val="clear" w:color="auto" w:fill="FFFFFF"/>
          </w:rPr>
          <w:t>).</w:t>
        </w:r>
      </w:hyperlink>
      <w:r w:rsidR="005725B1">
        <w:rPr>
          <w:color w:val="000000" w:themeColor="text1"/>
          <w:sz w:val="24"/>
          <w:szCs w:val="24"/>
          <w:shd w:val="clear" w:color="auto" w:fill="FFFFFF"/>
        </w:rPr>
        <w:t xml:space="preserve"> Its main areas of work</w:t>
      </w:r>
      <w:r w:rsidRPr="00F563CD">
        <w:rPr>
          <w:bCs/>
          <w:color w:val="000000" w:themeColor="text1"/>
          <w:sz w:val="24"/>
          <w:szCs w:val="24"/>
          <w:shd w:val="clear" w:color="auto" w:fill="FFFFFF"/>
        </w:rPr>
        <w:t xml:space="preserve"> are scientific development (</w:t>
      </w:r>
      <w:r w:rsidRPr="00F563CD">
        <w:rPr>
          <w:bCs/>
          <w:i/>
          <w:iCs/>
          <w:color w:val="000000" w:themeColor="text1"/>
          <w:sz w:val="24"/>
          <w:szCs w:val="24"/>
          <w:shd w:val="clear" w:color="auto" w:fill="FFFFFF"/>
        </w:rPr>
        <w:t>thinking</w:t>
      </w:r>
      <w:r w:rsidRPr="00F563CD">
        <w:rPr>
          <w:bCs/>
          <w:color w:val="000000" w:themeColor="text1"/>
          <w:sz w:val="24"/>
          <w:szCs w:val="24"/>
          <w:shd w:val="clear" w:color="auto" w:fill="FFFFFF"/>
        </w:rPr>
        <w:t>), provision of technology and support tools (</w:t>
      </w:r>
      <w:r w:rsidRPr="00F563CD">
        <w:rPr>
          <w:bCs/>
          <w:i/>
          <w:iCs/>
          <w:color w:val="000000" w:themeColor="text1"/>
          <w:sz w:val="24"/>
          <w:szCs w:val="24"/>
          <w:shd w:val="clear" w:color="auto" w:fill="FFFFFF"/>
        </w:rPr>
        <w:t>tools</w:t>
      </w:r>
      <w:r w:rsidRPr="00F563CD">
        <w:rPr>
          <w:bCs/>
          <w:color w:val="000000" w:themeColor="text1"/>
          <w:sz w:val="24"/>
          <w:szCs w:val="24"/>
          <w:shd w:val="clear" w:color="auto" w:fill="FFFFFF"/>
        </w:rPr>
        <w:t>), and teaching, training and advocacy (</w:t>
      </w:r>
      <w:r w:rsidRPr="00F563CD">
        <w:rPr>
          <w:bCs/>
          <w:i/>
          <w:iCs/>
          <w:color w:val="000000" w:themeColor="text1"/>
          <w:sz w:val="24"/>
          <w:szCs w:val="24"/>
          <w:shd w:val="clear" w:color="auto" w:fill="FFFFFF"/>
        </w:rPr>
        <w:t>teaching</w:t>
      </w:r>
      <w:r w:rsidRPr="00F563CD">
        <w:rPr>
          <w:bCs/>
          <w:color w:val="000000" w:themeColor="text1"/>
          <w:sz w:val="24"/>
          <w:szCs w:val="24"/>
          <w:shd w:val="clear" w:color="auto" w:fill="FFFFFF"/>
        </w:rPr>
        <w:t>)</w:t>
      </w:r>
      <w:r w:rsidRPr="00F563CD">
        <w:rPr>
          <w:color w:val="000000" w:themeColor="text1"/>
          <w:sz w:val="24"/>
          <w:szCs w:val="24"/>
          <w:shd w:val="clear" w:color="auto" w:fill="FFFFFF"/>
        </w:rPr>
        <w:t xml:space="preserve">. It is </w:t>
      </w:r>
      <w:r w:rsidR="005725B1">
        <w:rPr>
          <w:color w:val="000000" w:themeColor="text1"/>
          <w:sz w:val="24"/>
          <w:szCs w:val="24"/>
          <w:shd w:val="clear" w:color="auto" w:fill="FFFFFF"/>
        </w:rPr>
        <w:t xml:space="preserve">the </w:t>
      </w:r>
      <w:r w:rsidRPr="00F563CD">
        <w:rPr>
          <w:color w:val="000000" w:themeColor="text1"/>
          <w:sz w:val="24"/>
          <w:szCs w:val="24"/>
          <w:shd w:val="clear" w:color="auto" w:fill="FFFFFF"/>
        </w:rPr>
        <w:t>custodian of tool</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such as </w:t>
      </w:r>
      <w:proofErr w:type="spellStart"/>
      <w:r w:rsidRPr="00F563CD">
        <w:rPr>
          <w:color w:val="000000" w:themeColor="text1"/>
          <w:sz w:val="24"/>
          <w:szCs w:val="24"/>
          <w:shd w:val="clear" w:color="auto" w:fill="FFFFFF"/>
        </w:rPr>
        <w:t>VigiBase</w:t>
      </w:r>
      <w:proofErr w:type="spellEnd"/>
      <w:r w:rsidRPr="00F563CD">
        <w:rPr>
          <w:color w:val="000000" w:themeColor="text1"/>
          <w:sz w:val="24"/>
          <w:szCs w:val="24"/>
          <w:shd w:val="clear" w:color="auto" w:fill="FFFFFF"/>
        </w:rPr>
        <w:t xml:space="preserve"> (global database), WHO-Drug, </w:t>
      </w:r>
      <w:proofErr w:type="spellStart"/>
      <w:r w:rsidRPr="00F563CD">
        <w:rPr>
          <w:color w:val="000000" w:themeColor="text1"/>
          <w:sz w:val="24"/>
          <w:szCs w:val="24"/>
          <w:shd w:val="clear" w:color="auto" w:fill="FFFFFF"/>
        </w:rPr>
        <w:t>VigiFlow</w:t>
      </w:r>
      <w:proofErr w:type="spellEnd"/>
      <w:r w:rsidRPr="00F563CD">
        <w:rPr>
          <w:color w:val="000000" w:themeColor="text1"/>
          <w:sz w:val="24"/>
          <w:szCs w:val="24"/>
          <w:shd w:val="clear" w:color="auto" w:fill="FFFFFF"/>
        </w:rPr>
        <w:t xml:space="preserve"> (National database), and </w:t>
      </w:r>
      <w:proofErr w:type="spellStart"/>
      <w:r w:rsidRPr="00F563CD">
        <w:rPr>
          <w:color w:val="000000" w:themeColor="text1"/>
          <w:sz w:val="24"/>
          <w:szCs w:val="24"/>
          <w:shd w:val="clear" w:color="auto" w:fill="FFFFFF"/>
        </w:rPr>
        <w:t>VigiLyze</w:t>
      </w:r>
      <w:proofErr w:type="spellEnd"/>
      <w:r w:rsidRPr="00F563CD">
        <w:rPr>
          <w:color w:val="000000" w:themeColor="text1"/>
          <w:sz w:val="24"/>
          <w:szCs w:val="24"/>
          <w:shd w:val="clear" w:color="auto" w:fill="FFFFFF"/>
        </w:rPr>
        <w:t xml:space="preserve">. A </w:t>
      </w:r>
      <w:r w:rsidR="005725B1" w:rsidRPr="00F563CD">
        <w:rPr>
          <w:color w:val="000000" w:themeColor="text1"/>
          <w:sz w:val="24"/>
          <w:szCs w:val="24"/>
          <w:shd w:val="clear" w:color="auto" w:fill="FFFFFF"/>
        </w:rPr>
        <w:t xml:space="preserve">National </w:t>
      </w:r>
      <w:r w:rsidRPr="00F563CD">
        <w:rPr>
          <w:color w:val="000000" w:themeColor="text1"/>
          <w:sz w:val="24"/>
          <w:szCs w:val="24"/>
          <w:shd w:val="clear" w:color="auto" w:fill="FFFFFF"/>
        </w:rPr>
        <w:t>centre need</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to contact WHO-UMC to get access to </w:t>
      </w:r>
      <w:proofErr w:type="spellStart"/>
      <w:r w:rsidRPr="00F563CD">
        <w:rPr>
          <w:color w:val="000000" w:themeColor="text1"/>
          <w:sz w:val="24"/>
          <w:szCs w:val="24"/>
          <w:shd w:val="clear" w:color="auto" w:fill="FFFFFF"/>
        </w:rPr>
        <w:t>VigiBase</w:t>
      </w:r>
      <w:proofErr w:type="spellEnd"/>
      <w:r w:rsidRPr="00F563CD">
        <w:rPr>
          <w:color w:val="000000" w:themeColor="text1"/>
          <w:sz w:val="24"/>
          <w:szCs w:val="24"/>
          <w:shd w:val="clear" w:color="auto" w:fill="FFFFFF"/>
        </w:rPr>
        <w:t xml:space="preserve">. Further, UMC also provides </w:t>
      </w:r>
      <w:proofErr w:type="spellStart"/>
      <w:r w:rsidRPr="00F563CD">
        <w:rPr>
          <w:color w:val="000000" w:themeColor="text1"/>
          <w:sz w:val="24"/>
          <w:szCs w:val="24"/>
          <w:shd w:val="clear" w:color="auto" w:fill="FFFFFF"/>
        </w:rPr>
        <w:t>VigiFlow</w:t>
      </w:r>
      <w:proofErr w:type="spellEnd"/>
      <w:r w:rsidRPr="00F563CD">
        <w:rPr>
          <w:color w:val="000000" w:themeColor="text1"/>
          <w:sz w:val="24"/>
          <w:szCs w:val="24"/>
          <w:shd w:val="clear" w:color="auto" w:fill="FFFFFF"/>
        </w:rPr>
        <w:t xml:space="preserve">, </w:t>
      </w:r>
      <w:proofErr w:type="spellStart"/>
      <w:r w:rsidRPr="00F563CD">
        <w:rPr>
          <w:color w:val="000000" w:themeColor="text1"/>
          <w:sz w:val="24"/>
          <w:szCs w:val="24"/>
          <w:shd w:val="clear" w:color="auto" w:fill="FFFFFF"/>
        </w:rPr>
        <w:t>VigiLyze</w:t>
      </w:r>
      <w:proofErr w:type="spellEnd"/>
      <w:r w:rsidRPr="00F563CD">
        <w:rPr>
          <w:color w:val="000000" w:themeColor="text1"/>
          <w:sz w:val="24"/>
          <w:szCs w:val="24"/>
          <w:shd w:val="clear" w:color="auto" w:fill="FFFFFF"/>
        </w:rPr>
        <w:t xml:space="preserve"> and WHO-Drug subscription</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to National Centre</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after </w:t>
      </w:r>
      <w:r w:rsidR="005725B1">
        <w:rPr>
          <w:color w:val="000000" w:themeColor="text1"/>
          <w:sz w:val="24"/>
          <w:szCs w:val="24"/>
          <w:shd w:val="clear" w:color="auto" w:fill="FFFFFF"/>
        </w:rPr>
        <w:t xml:space="preserve">an </w:t>
      </w:r>
      <w:r w:rsidRPr="00F563CD">
        <w:rPr>
          <w:color w:val="000000" w:themeColor="text1"/>
          <w:sz w:val="24"/>
          <w:szCs w:val="24"/>
          <w:shd w:val="clear" w:color="auto" w:fill="FFFFFF"/>
        </w:rPr>
        <w:t xml:space="preserve">agreement between the two parties. </w:t>
      </w:r>
      <w:r w:rsidR="005725B1">
        <w:rPr>
          <w:color w:val="000000" w:themeColor="text1"/>
          <w:sz w:val="24"/>
          <w:szCs w:val="24"/>
          <w:shd w:val="clear" w:color="auto" w:fill="FFFFFF"/>
        </w:rPr>
        <w:t xml:space="preserve">The </w:t>
      </w:r>
      <w:r w:rsidRPr="00F563CD">
        <w:rPr>
          <w:color w:val="000000" w:themeColor="text1"/>
          <w:sz w:val="24"/>
          <w:szCs w:val="24"/>
          <w:shd w:val="clear" w:color="auto" w:fill="FFFFFF"/>
        </w:rPr>
        <w:t xml:space="preserve">UMC also detects signals in </w:t>
      </w:r>
      <w:proofErr w:type="spellStart"/>
      <w:r w:rsidRPr="00F563CD">
        <w:rPr>
          <w:color w:val="000000" w:themeColor="text1"/>
          <w:sz w:val="24"/>
          <w:szCs w:val="24"/>
          <w:shd w:val="clear" w:color="auto" w:fill="FFFFFF"/>
        </w:rPr>
        <w:t>VigiBase</w:t>
      </w:r>
      <w:proofErr w:type="spellEnd"/>
      <w:r w:rsidRPr="00F563CD">
        <w:rPr>
          <w:color w:val="000000" w:themeColor="text1"/>
          <w:sz w:val="24"/>
          <w:szCs w:val="24"/>
          <w:shd w:val="clear" w:color="auto" w:fill="FFFFFF"/>
        </w:rPr>
        <w:t xml:space="preserve">, which are at first shared with </w:t>
      </w:r>
      <w:r w:rsidR="005725B1" w:rsidRPr="00F563CD">
        <w:rPr>
          <w:color w:val="000000" w:themeColor="text1"/>
          <w:sz w:val="24"/>
          <w:szCs w:val="24"/>
          <w:shd w:val="clear" w:color="auto" w:fill="FFFFFF"/>
        </w:rPr>
        <w:t xml:space="preserve">National </w:t>
      </w:r>
      <w:r w:rsidRPr="00F563CD">
        <w:rPr>
          <w:color w:val="000000" w:themeColor="text1"/>
          <w:sz w:val="24"/>
          <w:szCs w:val="24"/>
          <w:shd w:val="clear" w:color="auto" w:fill="FFFFFF"/>
        </w:rPr>
        <w:t xml:space="preserve">centres and subsequently are published in </w:t>
      </w:r>
      <w:r w:rsidR="005725B1">
        <w:rPr>
          <w:color w:val="000000" w:themeColor="text1"/>
          <w:sz w:val="24"/>
          <w:szCs w:val="24"/>
          <w:shd w:val="clear" w:color="auto" w:fill="FFFFFF"/>
        </w:rPr>
        <w:t xml:space="preserve">the </w:t>
      </w:r>
      <w:r w:rsidRPr="00F563CD">
        <w:rPr>
          <w:color w:val="000000" w:themeColor="text1"/>
          <w:sz w:val="24"/>
          <w:szCs w:val="24"/>
          <w:shd w:val="clear" w:color="auto" w:fill="FFFFFF"/>
        </w:rPr>
        <w:t xml:space="preserve">WHO pharmaceutical newsletter. UMC conducts annual pharmacovigilance </w:t>
      </w:r>
      <w:r w:rsidR="005725B1">
        <w:rPr>
          <w:color w:val="000000" w:themeColor="text1"/>
          <w:sz w:val="24"/>
          <w:szCs w:val="24"/>
          <w:shd w:val="clear" w:color="auto" w:fill="FFFFFF"/>
        </w:rPr>
        <w:t xml:space="preserve">training </w:t>
      </w:r>
      <w:r w:rsidRPr="00F563CD">
        <w:rPr>
          <w:color w:val="000000" w:themeColor="text1"/>
          <w:sz w:val="24"/>
          <w:szCs w:val="24"/>
          <w:shd w:val="clear" w:color="auto" w:fill="FFFFFF"/>
        </w:rPr>
        <w:t>course</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at Uppsala,</w:t>
      </w:r>
      <w:r w:rsidR="005725B1">
        <w:rPr>
          <w:color w:val="000000" w:themeColor="text1"/>
          <w:sz w:val="24"/>
          <w:szCs w:val="24"/>
          <w:shd w:val="clear" w:color="auto" w:fill="FFFFFF"/>
        </w:rPr>
        <w:t xml:space="preserve"> Sweden</w:t>
      </w:r>
      <w:r w:rsidRPr="00F563CD">
        <w:rPr>
          <w:color w:val="000000" w:themeColor="text1"/>
          <w:sz w:val="24"/>
          <w:szCs w:val="24"/>
          <w:shd w:val="clear" w:color="auto" w:fill="FFFFFF"/>
        </w:rPr>
        <w:t xml:space="preserve"> and also conduct</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some pharmacovigilance courses in collaboration with pharmacovigilance partners in other parts of the world. In addition, UMC also provide</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specific training course</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on the request of National Centres. UMC also have distance learning training programme</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where free online training course</w:t>
      </w:r>
      <w:r w:rsidR="005725B1">
        <w:rPr>
          <w:color w:val="000000" w:themeColor="text1"/>
          <w:sz w:val="24"/>
          <w:szCs w:val="24"/>
          <w:shd w:val="clear" w:color="auto" w:fill="FFFFFF"/>
        </w:rPr>
        <w:t>s</w:t>
      </w:r>
      <w:r w:rsidRPr="00F563CD">
        <w:rPr>
          <w:color w:val="000000" w:themeColor="text1"/>
          <w:sz w:val="24"/>
          <w:szCs w:val="24"/>
          <w:shd w:val="clear" w:color="auto" w:fill="FFFFFF"/>
        </w:rPr>
        <w:t xml:space="preserve"> </w:t>
      </w:r>
      <w:r w:rsidR="00D13C20">
        <w:rPr>
          <w:color w:val="000000" w:themeColor="text1"/>
          <w:sz w:val="24"/>
          <w:szCs w:val="24"/>
          <w:shd w:val="clear" w:color="auto" w:fill="FFFFFF"/>
        </w:rPr>
        <w:t>are</w:t>
      </w:r>
      <w:r w:rsidRPr="00F563CD">
        <w:rPr>
          <w:color w:val="000000" w:themeColor="text1"/>
          <w:sz w:val="24"/>
          <w:szCs w:val="24"/>
          <w:shd w:val="clear" w:color="auto" w:fill="FFFFFF"/>
        </w:rPr>
        <w:t xml:space="preserve"> provided. </w:t>
      </w:r>
      <w:r w:rsidR="005725B1">
        <w:rPr>
          <w:color w:val="000000" w:themeColor="text1"/>
          <w:sz w:val="24"/>
          <w:szCs w:val="24"/>
          <w:shd w:val="clear" w:color="auto" w:fill="FFFFFF"/>
        </w:rPr>
        <w:t xml:space="preserve">The </w:t>
      </w:r>
      <w:r w:rsidRPr="00F563CD">
        <w:rPr>
          <w:color w:val="000000" w:themeColor="text1"/>
          <w:sz w:val="24"/>
          <w:szCs w:val="24"/>
          <w:shd w:val="clear" w:color="auto" w:fill="FFFFFF"/>
        </w:rPr>
        <w:t xml:space="preserve">National Centre of the country is responsible to coordinate with WHO-UMC for the provision of </w:t>
      </w:r>
      <w:proofErr w:type="spellStart"/>
      <w:r w:rsidRPr="00F563CD">
        <w:rPr>
          <w:color w:val="000000" w:themeColor="text1"/>
          <w:sz w:val="24"/>
          <w:szCs w:val="24"/>
          <w:shd w:val="clear" w:color="auto" w:fill="FFFFFF"/>
        </w:rPr>
        <w:t>VigiFlow</w:t>
      </w:r>
      <w:proofErr w:type="spellEnd"/>
      <w:r w:rsidRPr="00F563CD">
        <w:rPr>
          <w:color w:val="000000" w:themeColor="text1"/>
          <w:sz w:val="24"/>
          <w:szCs w:val="24"/>
          <w:shd w:val="clear" w:color="auto" w:fill="FFFFFF"/>
        </w:rPr>
        <w:t xml:space="preserve">, </w:t>
      </w:r>
      <w:proofErr w:type="spellStart"/>
      <w:r w:rsidRPr="00F563CD">
        <w:rPr>
          <w:color w:val="000000" w:themeColor="text1"/>
          <w:sz w:val="24"/>
          <w:szCs w:val="24"/>
          <w:shd w:val="clear" w:color="auto" w:fill="FFFFFF"/>
        </w:rPr>
        <w:t>VigiLyze</w:t>
      </w:r>
      <w:proofErr w:type="spellEnd"/>
      <w:r w:rsidRPr="00F563CD">
        <w:rPr>
          <w:color w:val="000000" w:themeColor="text1"/>
          <w:sz w:val="24"/>
          <w:szCs w:val="24"/>
          <w:shd w:val="clear" w:color="auto" w:fill="FFFFFF"/>
        </w:rPr>
        <w:t xml:space="preserve"> and WHO-Drug. The tools of the WHO-UMC are further elaborated as under:</w:t>
      </w:r>
    </w:p>
    <w:p w14:paraId="3D5E9B00" w14:textId="0A97E370" w:rsidR="006C4F1F" w:rsidRPr="0023728B" w:rsidRDefault="0023728B" w:rsidP="00720CB7">
      <w:pPr>
        <w:spacing w:after="120" w:line="360" w:lineRule="auto"/>
        <w:rPr>
          <w:i/>
          <w:iCs/>
          <w:sz w:val="24"/>
          <w:szCs w:val="24"/>
        </w:rPr>
      </w:pPr>
      <w:r w:rsidRPr="0023728B">
        <w:rPr>
          <w:i/>
          <w:iCs/>
          <w:sz w:val="24"/>
          <w:szCs w:val="24"/>
        </w:rPr>
        <w:t xml:space="preserve">10.2.1 </w:t>
      </w:r>
      <w:r w:rsidR="006C4F1F" w:rsidRPr="0023728B">
        <w:rPr>
          <w:i/>
          <w:iCs/>
          <w:sz w:val="24"/>
          <w:szCs w:val="24"/>
        </w:rPr>
        <w:t>WHO-</w:t>
      </w:r>
      <w:r w:rsidR="005725B1" w:rsidRPr="0023728B">
        <w:rPr>
          <w:i/>
          <w:iCs/>
          <w:sz w:val="24"/>
          <w:szCs w:val="24"/>
        </w:rPr>
        <w:t xml:space="preserve">Drug </w:t>
      </w:r>
      <w:r w:rsidR="006C4F1F" w:rsidRPr="0023728B">
        <w:rPr>
          <w:i/>
          <w:iCs/>
          <w:sz w:val="24"/>
          <w:szCs w:val="24"/>
        </w:rPr>
        <w:t>Dictionary.</w:t>
      </w:r>
    </w:p>
    <w:p w14:paraId="44BBDA54" w14:textId="75E962B0" w:rsidR="00F01BCD" w:rsidRPr="00EA301D" w:rsidRDefault="006C4F1F" w:rsidP="00EA301D">
      <w:pPr>
        <w:spacing w:after="120" w:line="360" w:lineRule="auto"/>
        <w:jc w:val="both"/>
        <w:rPr>
          <w:bCs/>
          <w:color w:val="000000" w:themeColor="text1"/>
          <w:sz w:val="24"/>
          <w:szCs w:val="24"/>
          <w:shd w:val="clear" w:color="auto" w:fill="FFFFFF"/>
        </w:rPr>
      </w:pPr>
      <w:r w:rsidRPr="00F563CD">
        <w:rPr>
          <w:bCs/>
          <w:color w:val="000000" w:themeColor="text1"/>
          <w:sz w:val="24"/>
          <w:szCs w:val="24"/>
        </w:rPr>
        <w:t>The world’s most comprehensive dictionary enabl</w:t>
      </w:r>
      <w:r w:rsidR="005725B1">
        <w:rPr>
          <w:bCs/>
          <w:color w:val="000000" w:themeColor="text1"/>
          <w:sz w:val="24"/>
          <w:szCs w:val="24"/>
        </w:rPr>
        <w:t>es</w:t>
      </w:r>
      <w:r w:rsidRPr="00F563CD">
        <w:rPr>
          <w:bCs/>
          <w:color w:val="000000" w:themeColor="text1"/>
          <w:sz w:val="24"/>
          <w:szCs w:val="24"/>
        </w:rPr>
        <w:t xml:space="preserve"> </w:t>
      </w:r>
      <w:r w:rsidR="005725B1">
        <w:rPr>
          <w:bCs/>
          <w:color w:val="000000" w:themeColor="text1"/>
          <w:sz w:val="24"/>
          <w:szCs w:val="24"/>
        </w:rPr>
        <w:t xml:space="preserve">the </w:t>
      </w:r>
      <w:r w:rsidRPr="00F563CD">
        <w:rPr>
          <w:bCs/>
          <w:color w:val="000000" w:themeColor="text1"/>
          <w:sz w:val="24"/>
          <w:szCs w:val="24"/>
        </w:rPr>
        <w:t xml:space="preserve">grouping of reported drugs with: </w:t>
      </w:r>
      <w:r w:rsidR="005725B1">
        <w:rPr>
          <w:bCs/>
          <w:color w:val="000000" w:themeColor="text1"/>
          <w:sz w:val="24"/>
          <w:szCs w:val="24"/>
        </w:rPr>
        <w:t xml:space="preserve">the </w:t>
      </w:r>
      <w:r w:rsidRPr="00F563CD">
        <w:rPr>
          <w:bCs/>
          <w:color w:val="000000" w:themeColor="text1"/>
          <w:sz w:val="24"/>
          <w:szCs w:val="24"/>
        </w:rPr>
        <w:t>same active substance(s); same active moiety (</w:t>
      </w:r>
      <w:proofErr w:type="spellStart"/>
      <w:r w:rsidRPr="00F563CD">
        <w:rPr>
          <w:bCs/>
          <w:color w:val="000000" w:themeColor="text1"/>
          <w:sz w:val="24"/>
          <w:szCs w:val="24"/>
        </w:rPr>
        <w:t>ies</w:t>
      </w:r>
      <w:proofErr w:type="spellEnd"/>
      <w:r w:rsidRPr="00F563CD">
        <w:rPr>
          <w:bCs/>
          <w:color w:val="000000" w:themeColor="text1"/>
          <w:sz w:val="24"/>
          <w:szCs w:val="24"/>
        </w:rPr>
        <w:t>); and same Anatomical Therapeutic Pharmacological Chemical</w:t>
      </w:r>
      <w:r w:rsidR="005725B1">
        <w:rPr>
          <w:bCs/>
          <w:color w:val="000000" w:themeColor="text1"/>
          <w:sz w:val="24"/>
          <w:szCs w:val="24"/>
        </w:rPr>
        <w:t xml:space="preserve"> (ATC)</w:t>
      </w:r>
      <w:r w:rsidRPr="00F563CD">
        <w:rPr>
          <w:bCs/>
          <w:color w:val="000000" w:themeColor="text1"/>
          <w:sz w:val="24"/>
          <w:szCs w:val="24"/>
        </w:rPr>
        <w:t xml:space="preserve"> classification. </w:t>
      </w:r>
      <w:hyperlink r:id="rId95" w:history="1">
        <w:r w:rsidRPr="004A1279">
          <w:rPr>
            <w:rStyle w:val="Hyperlink"/>
            <w:bCs/>
            <w:sz w:val="24"/>
            <w:szCs w:val="24"/>
          </w:rPr>
          <w:t>WHO-Drug</w:t>
        </w:r>
      </w:hyperlink>
      <w:r w:rsidRPr="00F563CD">
        <w:rPr>
          <w:bCs/>
          <w:color w:val="000000" w:themeColor="text1"/>
          <w:sz w:val="24"/>
          <w:szCs w:val="24"/>
        </w:rPr>
        <w:t xml:space="preserve"> is used by Regulatory Authorities, Pharmaceutical </w:t>
      </w:r>
      <w:r w:rsidR="002E4E9F" w:rsidRPr="00F563CD">
        <w:rPr>
          <w:bCs/>
          <w:color w:val="000000" w:themeColor="text1"/>
          <w:sz w:val="24"/>
          <w:szCs w:val="24"/>
        </w:rPr>
        <w:t>Companies</w:t>
      </w:r>
      <w:r w:rsidRPr="00F563CD">
        <w:rPr>
          <w:bCs/>
          <w:color w:val="000000" w:themeColor="text1"/>
          <w:sz w:val="24"/>
          <w:szCs w:val="24"/>
        </w:rPr>
        <w:t xml:space="preserve">, Clinical Research </w:t>
      </w:r>
      <w:r w:rsidR="002E4E9F">
        <w:rPr>
          <w:bCs/>
          <w:color w:val="000000" w:themeColor="text1"/>
          <w:sz w:val="24"/>
          <w:szCs w:val="24"/>
        </w:rPr>
        <w:t>Organizations</w:t>
      </w:r>
      <w:r w:rsidRPr="00F563CD">
        <w:rPr>
          <w:bCs/>
          <w:color w:val="000000" w:themeColor="text1"/>
          <w:sz w:val="24"/>
          <w:szCs w:val="24"/>
        </w:rPr>
        <w:t xml:space="preserve">, PV centres and </w:t>
      </w:r>
      <w:r w:rsidR="002E4E9F">
        <w:rPr>
          <w:bCs/>
          <w:color w:val="000000" w:themeColor="text1"/>
          <w:sz w:val="24"/>
          <w:szCs w:val="24"/>
        </w:rPr>
        <w:t xml:space="preserve">the </w:t>
      </w:r>
      <w:r w:rsidRPr="00F563CD">
        <w:rPr>
          <w:bCs/>
          <w:color w:val="000000" w:themeColor="text1"/>
          <w:sz w:val="24"/>
          <w:szCs w:val="24"/>
        </w:rPr>
        <w:t xml:space="preserve">UMC.  </w:t>
      </w:r>
      <w:r w:rsidRPr="00F563CD">
        <w:rPr>
          <w:color w:val="000000" w:themeColor="text1"/>
          <w:sz w:val="24"/>
          <w:szCs w:val="24"/>
          <w:shd w:val="clear" w:color="auto" w:fill="FFFFFF"/>
        </w:rPr>
        <w:t xml:space="preserve">WHO-Drug data covers both conventional medicines and herbal remedies. The conventional medicines include prescription-only products, over-the-counter (OTC) and pharmacist-dispensed preparations, as well as biotech and blood products, diagnostic substances and contrast medication. </w:t>
      </w:r>
      <w:r w:rsidR="002E4E9F">
        <w:rPr>
          <w:color w:val="000000" w:themeColor="text1"/>
          <w:sz w:val="24"/>
          <w:szCs w:val="24"/>
          <w:shd w:val="clear" w:color="auto" w:fill="FFFFFF"/>
        </w:rPr>
        <w:t xml:space="preserve">The </w:t>
      </w:r>
      <w:r w:rsidRPr="00F563CD">
        <w:rPr>
          <w:color w:val="000000" w:themeColor="text1"/>
          <w:sz w:val="24"/>
          <w:szCs w:val="24"/>
          <w:shd w:val="clear" w:color="auto" w:fill="FFFFFF"/>
        </w:rPr>
        <w:t xml:space="preserve">WHO-Drug has more than </w:t>
      </w:r>
      <w:r w:rsidRPr="00F563CD">
        <w:rPr>
          <w:bCs/>
          <w:color w:val="000000" w:themeColor="text1"/>
          <w:sz w:val="24"/>
          <w:szCs w:val="24"/>
          <w:shd w:val="clear" w:color="auto" w:fill="FFFFFF"/>
        </w:rPr>
        <w:t xml:space="preserve">500 000 unique drug names and more than three million medicinal products from 150 countries. The National Centre has to sign </w:t>
      </w:r>
      <w:r w:rsidR="005725B1">
        <w:rPr>
          <w:bCs/>
          <w:color w:val="000000" w:themeColor="text1"/>
          <w:sz w:val="24"/>
          <w:szCs w:val="24"/>
          <w:shd w:val="clear" w:color="auto" w:fill="FFFFFF"/>
        </w:rPr>
        <w:t xml:space="preserve">an </w:t>
      </w:r>
      <w:r w:rsidRPr="00F563CD">
        <w:rPr>
          <w:bCs/>
          <w:color w:val="000000" w:themeColor="text1"/>
          <w:sz w:val="24"/>
          <w:szCs w:val="24"/>
          <w:shd w:val="clear" w:color="auto" w:fill="FFFFFF"/>
        </w:rPr>
        <w:t>agreement with WHO-UMC to use WHO-</w:t>
      </w:r>
      <w:r w:rsidRPr="00F563CD">
        <w:rPr>
          <w:bCs/>
          <w:color w:val="000000" w:themeColor="text1"/>
          <w:sz w:val="24"/>
          <w:szCs w:val="24"/>
          <w:shd w:val="clear" w:color="auto" w:fill="FFFFFF"/>
        </w:rPr>
        <w:lastRenderedPageBreak/>
        <w:t xml:space="preserve">Drug. The drugs in the </w:t>
      </w:r>
      <w:proofErr w:type="spellStart"/>
      <w:r w:rsidRPr="00F563CD">
        <w:rPr>
          <w:bCs/>
          <w:color w:val="000000" w:themeColor="text1"/>
          <w:sz w:val="24"/>
          <w:szCs w:val="24"/>
          <w:shd w:val="clear" w:color="auto" w:fill="FFFFFF"/>
        </w:rPr>
        <w:t>VigiFlow</w:t>
      </w:r>
      <w:proofErr w:type="spellEnd"/>
      <w:r w:rsidRPr="00F563CD">
        <w:rPr>
          <w:bCs/>
          <w:color w:val="000000" w:themeColor="text1"/>
          <w:sz w:val="24"/>
          <w:szCs w:val="24"/>
          <w:shd w:val="clear" w:color="auto" w:fill="FFFFFF"/>
        </w:rPr>
        <w:t xml:space="preserve"> are coded through WHO-Drug while entering the data into </w:t>
      </w:r>
      <w:proofErr w:type="spellStart"/>
      <w:r w:rsidRPr="00F563CD">
        <w:rPr>
          <w:bCs/>
          <w:color w:val="000000" w:themeColor="text1"/>
          <w:sz w:val="24"/>
          <w:szCs w:val="24"/>
          <w:shd w:val="clear" w:color="auto" w:fill="FFFFFF"/>
        </w:rPr>
        <w:t>VigiFlow</w:t>
      </w:r>
      <w:proofErr w:type="spellEnd"/>
      <w:r w:rsidRPr="00F563CD">
        <w:rPr>
          <w:bCs/>
          <w:color w:val="000000" w:themeColor="text1"/>
          <w:sz w:val="24"/>
          <w:szCs w:val="24"/>
          <w:shd w:val="clear" w:color="auto" w:fill="FFFFFF"/>
        </w:rPr>
        <w:t>.</w:t>
      </w:r>
    </w:p>
    <w:p w14:paraId="017FEBE8" w14:textId="5A4F2F93" w:rsidR="006C4F1F" w:rsidRPr="0023728B" w:rsidRDefault="0023728B" w:rsidP="00720CB7">
      <w:pPr>
        <w:spacing w:after="120" w:line="360" w:lineRule="auto"/>
        <w:rPr>
          <w:i/>
          <w:iCs/>
          <w:sz w:val="24"/>
          <w:szCs w:val="24"/>
        </w:rPr>
      </w:pPr>
      <w:r w:rsidRPr="0023728B">
        <w:rPr>
          <w:i/>
          <w:iCs/>
          <w:sz w:val="24"/>
          <w:szCs w:val="24"/>
        </w:rPr>
        <w:t xml:space="preserve">10.2.2 </w:t>
      </w:r>
      <w:proofErr w:type="spellStart"/>
      <w:r w:rsidR="006C4F1F" w:rsidRPr="0023728B">
        <w:rPr>
          <w:i/>
          <w:iCs/>
          <w:sz w:val="24"/>
          <w:szCs w:val="24"/>
        </w:rPr>
        <w:t>VigiBase</w:t>
      </w:r>
      <w:proofErr w:type="spellEnd"/>
    </w:p>
    <w:p w14:paraId="49789EC7" w14:textId="773992E9" w:rsidR="00F01BCD" w:rsidRPr="00EA301D" w:rsidRDefault="00E03A13" w:rsidP="00EA301D">
      <w:pPr>
        <w:spacing w:after="120" w:line="360" w:lineRule="auto"/>
        <w:jc w:val="both"/>
        <w:rPr>
          <w:color w:val="000000"/>
          <w:sz w:val="24"/>
          <w:szCs w:val="24"/>
        </w:rPr>
      </w:pPr>
      <w:hyperlink r:id="rId96" w:history="1">
        <w:proofErr w:type="spellStart"/>
        <w:r w:rsidR="006C4F1F" w:rsidRPr="00B17CDD">
          <w:rPr>
            <w:rStyle w:val="Hyperlink"/>
            <w:sz w:val="24"/>
            <w:szCs w:val="24"/>
          </w:rPr>
          <w:t>VigiBase</w:t>
        </w:r>
        <w:proofErr w:type="spellEnd"/>
      </w:hyperlink>
      <w:r w:rsidR="006C4F1F" w:rsidRPr="00F563CD">
        <w:rPr>
          <w:color w:val="000000"/>
          <w:sz w:val="24"/>
          <w:szCs w:val="24"/>
        </w:rPr>
        <w:t xml:space="preserve"> is the WHO global ICSR database and consists of reports of adverse reactions</w:t>
      </w:r>
      <w:r w:rsidR="005725B1">
        <w:rPr>
          <w:color w:val="000000"/>
          <w:sz w:val="24"/>
          <w:szCs w:val="24"/>
        </w:rPr>
        <w:t xml:space="preserve"> (individual case safety reports)</w:t>
      </w:r>
      <w:r w:rsidR="006C4F1F" w:rsidRPr="00F563CD">
        <w:rPr>
          <w:color w:val="000000"/>
          <w:sz w:val="24"/>
          <w:szCs w:val="24"/>
        </w:rPr>
        <w:t xml:space="preserve"> submitted by member countries since 1968. The </w:t>
      </w:r>
      <w:proofErr w:type="spellStart"/>
      <w:r w:rsidR="006C4F1F" w:rsidRPr="00F563CD">
        <w:rPr>
          <w:color w:val="000000"/>
          <w:sz w:val="24"/>
          <w:szCs w:val="24"/>
        </w:rPr>
        <w:t>VigiBase</w:t>
      </w:r>
      <w:proofErr w:type="spellEnd"/>
      <w:r w:rsidR="006C4F1F" w:rsidRPr="00F563CD">
        <w:rPr>
          <w:color w:val="000000"/>
          <w:sz w:val="24"/>
          <w:szCs w:val="24"/>
        </w:rPr>
        <w:t xml:space="preserve"> data resource is the largest and most comprehensive in the world and it is developed and maintained by the UMC on behalf of WHO since 1978. At present, </w:t>
      </w:r>
      <w:r w:rsidR="00541184">
        <w:rPr>
          <w:color w:val="000000"/>
          <w:sz w:val="24"/>
          <w:szCs w:val="24"/>
        </w:rPr>
        <w:t>152</w:t>
      </w:r>
      <w:r w:rsidR="006C4F1F" w:rsidRPr="00F563CD">
        <w:rPr>
          <w:color w:val="000000"/>
          <w:sz w:val="24"/>
          <w:szCs w:val="24"/>
        </w:rPr>
        <w:t xml:space="preserve"> countries are contributing to </w:t>
      </w:r>
      <w:proofErr w:type="spellStart"/>
      <w:r w:rsidR="006C4F1F" w:rsidRPr="00F563CD">
        <w:rPr>
          <w:color w:val="000000"/>
          <w:sz w:val="24"/>
          <w:szCs w:val="24"/>
        </w:rPr>
        <w:t>VigiBase</w:t>
      </w:r>
      <w:proofErr w:type="spellEnd"/>
      <w:r w:rsidR="006C4F1F" w:rsidRPr="00F563CD">
        <w:rPr>
          <w:color w:val="000000"/>
          <w:sz w:val="24"/>
          <w:szCs w:val="24"/>
        </w:rPr>
        <w:t>.</w:t>
      </w:r>
      <w:r w:rsidR="006C4F1F" w:rsidRPr="00F563CD">
        <w:rPr>
          <w:rStyle w:val="Heading1Char"/>
          <w:sz w:val="24"/>
          <w:szCs w:val="24"/>
        </w:rPr>
        <w:t xml:space="preserve"> </w:t>
      </w:r>
      <w:proofErr w:type="spellStart"/>
      <w:r w:rsidR="006C4F1F" w:rsidRPr="00F563CD">
        <w:rPr>
          <w:color w:val="000000"/>
          <w:sz w:val="24"/>
          <w:szCs w:val="24"/>
        </w:rPr>
        <w:t>VigiBase</w:t>
      </w:r>
      <w:proofErr w:type="spellEnd"/>
      <w:r w:rsidR="006C4F1F" w:rsidRPr="00F563CD">
        <w:rPr>
          <w:color w:val="000000"/>
          <w:sz w:val="24"/>
          <w:szCs w:val="24"/>
        </w:rPr>
        <w:t xml:space="preserve"> includes linked databases (WHO-ART/MedDRA, WHO ICD, and WHO-DD) that contain medical and drug classifications. It is a computerized PV system in which information is</w:t>
      </w:r>
      <w:r w:rsidR="006C4F1F" w:rsidRPr="00F563CD">
        <w:rPr>
          <w:color w:val="000000"/>
          <w:sz w:val="24"/>
          <w:szCs w:val="24"/>
        </w:rPr>
        <w:br/>
        <w:t>recorded in a structured, hierarchical form to allow for easy and flexible data retrieval and analysis. Its purpose is to provide evidence from which potential medicine safety hazards may be detected and communicated. As of 2</w:t>
      </w:r>
      <w:r w:rsidR="00247B69">
        <w:rPr>
          <w:color w:val="000000"/>
          <w:sz w:val="24"/>
          <w:szCs w:val="24"/>
        </w:rPr>
        <w:t>022</w:t>
      </w:r>
      <w:r w:rsidR="006C4F1F" w:rsidRPr="00F563CD">
        <w:rPr>
          <w:color w:val="000000"/>
          <w:sz w:val="24"/>
          <w:szCs w:val="24"/>
        </w:rPr>
        <w:t xml:space="preserve">, </w:t>
      </w:r>
      <w:proofErr w:type="spellStart"/>
      <w:r w:rsidR="006C4F1F" w:rsidRPr="00F563CD">
        <w:rPr>
          <w:color w:val="000000"/>
          <w:sz w:val="24"/>
          <w:szCs w:val="24"/>
        </w:rPr>
        <w:t>VigiBase</w:t>
      </w:r>
      <w:proofErr w:type="spellEnd"/>
      <w:r w:rsidR="006C4F1F" w:rsidRPr="00F563CD">
        <w:rPr>
          <w:color w:val="000000"/>
          <w:sz w:val="24"/>
          <w:szCs w:val="24"/>
        </w:rPr>
        <w:t xml:space="preserve"> has over </w:t>
      </w:r>
      <w:r w:rsidR="00541184">
        <w:rPr>
          <w:color w:val="000000"/>
          <w:sz w:val="24"/>
          <w:szCs w:val="24"/>
        </w:rPr>
        <w:t>3</w:t>
      </w:r>
      <w:r w:rsidR="006C4F1F" w:rsidRPr="00F563CD">
        <w:rPr>
          <w:color w:val="000000"/>
          <w:sz w:val="24"/>
          <w:szCs w:val="24"/>
        </w:rPr>
        <w:t xml:space="preserve">0 million anonymized reports of suspected adverse effects of medicines </w:t>
      </w:r>
      <w:r w:rsidR="00541184">
        <w:rPr>
          <w:color w:val="000000"/>
          <w:sz w:val="24"/>
          <w:szCs w:val="24"/>
        </w:rPr>
        <w:t xml:space="preserve">(individual case safety reports) </w:t>
      </w:r>
      <w:r w:rsidR="006C4F1F" w:rsidRPr="00F563CD">
        <w:rPr>
          <w:color w:val="000000"/>
          <w:sz w:val="24"/>
          <w:szCs w:val="24"/>
        </w:rPr>
        <w:t xml:space="preserve">suffered by patients. </w:t>
      </w:r>
    </w:p>
    <w:p w14:paraId="7834B6D7" w14:textId="414B0ED3" w:rsidR="006C4F1F" w:rsidRPr="0023728B" w:rsidRDefault="0023728B" w:rsidP="00720CB7">
      <w:pPr>
        <w:spacing w:after="120" w:line="360" w:lineRule="auto"/>
        <w:rPr>
          <w:i/>
          <w:iCs/>
        </w:rPr>
      </w:pPr>
      <w:r w:rsidRPr="0023728B">
        <w:rPr>
          <w:i/>
          <w:iCs/>
        </w:rPr>
        <w:t xml:space="preserve">10.2.3 </w:t>
      </w:r>
      <w:proofErr w:type="spellStart"/>
      <w:r w:rsidR="006C4F1F" w:rsidRPr="0023728B">
        <w:rPr>
          <w:i/>
          <w:iCs/>
        </w:rPr>
        <w:t>VigiFlow</w:t>
      </w:r>
      <w:proofErr w:type="spellEnd"/>
    </w:p>
    <w:p w14:paraId="5173ACF0" w14:textId="58B1806E" w:rsidR="00F01BCD" w:rsidRPr="00F563CD" w:rsidRDefault="006C4F1F" w:rsidP="00EA301D">
      <w:pPr>
        <w:spacing w:after="120" w:line="360" w:lineRule="auto"/>
        <w:jc w:val="both"/>
        <w:rPr>
          <w:bCs/>
          <w:sz w:val="24"/>
          <w:szCs w:val="24"/>
        </w:rPr>
      </w:pPr>
      <w:r w:rsidRPr="00F563CD">
        <w:rPr>
          <w:bCs/>
          <w:sz w:val="24"/>
          <w:szCs w:val="24"/>
        </w:rPr>
        <w:t>A web-based ICSR data management system</w:t>
      </w:r>
      <w:r w:rsidR="00F27BE3">
        <w:rPr>
          <w:bCs/>
          <w:sz w:val="24"/>
          <w:szCs w:val="24"/>
        </w:rPr>
        <w:t xml:space="preserve"> that is</w:t>
      </w:r>
      <w:r w:rsidRPr="00F563CD">
        <w:rPr>
          <w:bCs/>
          <w:sz w:val="24"/>
          <w:szCs w:val="24"/>
        </w:rPr>
        <w:t xml:space="preserve"> available to the </w:t>
      </w:r>
      <w:r w:rsidR="00F27BE3" w:rsidRPr="00F563CD">
        <w:rPr>
          <w:bCs/>
          <w:sz w:val="24"/>
          <w:szCs w:val="24"/>
        </w:rPr>
        <w:t xml:space="preserve">National </w:t>
      </w:r>
      <w:r w:rsidRPr="00F563CD">
        <w:rPr>
          <w:bCs/>
          <w:sz w:val="24"/>
          <w:szCs w:val="24"/>
        </w:rPr>
        <w:t xml:space="preserve">pharmacovigilance centres of the member countries of the WHO Programme for International Drug Monitoring. </w:t>
      </w:r>
      <w:hyperlink r:id="rId97" w:anchor=":~:text=VigiFlow%20is%20a%20web%2Dbased,triage%20and%20assessment%20of%20cases." w:history="1">
        <w:proofErr w:type="spellStart"/>
        <w:r w:rsidRPr="00EC2B9C">
          <w:rPr>
            <w:rStyle w:val="Hyperlink"/>
            <w:bCs/>
            <w:sz w:val="24"/>
            <w:szCs w:val="24"/>
          </w:rPr>
          <w:t>VigiFlow</w:t>
        </w:r>
        <w:proofErr w:type="spellEnd"/>
      </w:hyperlink>
      <w:r w:rsidRPr="00F563CD">
        <w:rPr>
          <w:bCs/>
          <w:sz w:val="24"/>
          <w:szCs w:val="24"/>
        </w:rPr>
        <w:t xml:space="preserve"> is compliant with </w:t>
      </w:r>
      <w:r w:rsidR="003B02F5">
        <w:rPr>
          <w:bCs/>
          <w:sz w:val="24"/>
          <w:szCs w:val="24"/>
        </w:rPr>
        <w:t xml:space="preserve">the </w:t>
      </w:r>
      <w:r w:rsidRPr="00F563CD">
        <w:rPr>
          <w:bCs/>
          <w:sz w:val="24"/>
          <w:szCs w:val="24"/>
        </w:rPr>
        <w:t xml:space="preserve">international ICH E2B standard and </w:t>
      </w:r>
      <w:r w:rsidR="003B02F5">
        <w:rPr>
          <w:bCs/>
          <w:sz w:val="24"/>
          <w:szCs w:val="24"/>
        </w:rPr>
        <w:t xml:space="preserve">is </w:t>
      </w:r>
      <w:r w:rsidRPr="00F563CD">
        <w:rPr>
          <w:bCs/>
          <w:sz w:val="24"/>
          <w:szCs w:val="24"/>
        </w:rPr>
        <w:t xml:space="preserve">maintained by Uppsala Monitoring Centre in Uppsala, Sweden. Since it is </w:t>
      </w:r>
      <w:r w:rsidR="003B02F5">
        <w:rPr>
          <w:bCs/>
          <w:sz w:val="24"/>
          <w:szCs w:val="24"/>
        </w:rPr>
        <w:t xml:space="preserve">a </w:t>
      </w:r>
      <w:r w:rsidRPr="00F563CD">
        <w:rPr>
          <w:bCs/>
          <w:sz w:val="24"/>
          <w:szCs w:val="24"/>
        </w:rPr>
        <w:t>web</w:t>
      </w:r>
      <w:r w:rsidR="003B02F5">
        <w:rPr>
          <w:bCs/>
          <w:sz w:val="24"/>
          <w:szCs w:val="24"/>
        </w:rPr>
        <w:t>-</w:t>
      </w:r>
      <w:r w:rsidRPr="00F563CD">
        <w:rPr>
          <w:bCs/>
          <w:sz w:val="24"/>
          <w:szCs w:val="24"/>
        </w:rPr>
        <w:t>based system, therefore, no local installations, back-ups or maintenance are required, except internet connection.</w:t>
      </w:r>
      <w:r w:rsidRPr="00F563CD">
        <w:rPr>
          <w:rFonts w:eastAsiaTheme="minorEastAsia"/>
          <w:b/>
          <w:bCs/>
          <w:color w:val="000000" w:themeColor="text1"/>
          <w:spacing w:val="-25"/>
          <w:sz w:val="24"/>
          <w:szCs w:val="24"/>
        </w:rPr>
        <w:t xml:space="preserve"> </w:t>
      </w:r>
      <w:proofErr w:type="spellStart"/>
      <w:r w:rsidRPr="00F563CD">
        <w:rPr>
          <w:bCs/>
          <w:sz w:val="24"/>
          <w:szCs w:val="24"/>
        </w:rPr>
        <w:t>VigiFlow</w:t>
      </w:r>
      <w:proofErr w:type="spellEnd"/>
      <w:r w:rsidRPr="00F563CD">
        <w:rPr>
          <w:bCs/>
          <w:sz w:val="24"/>
          <w:szCs w:val="24"/>
        </w:rPr>
        <w:t xml:space="preserve"> enables to: collect ADRs and AEFIs; structure and evaluate these; and accordingly share these with other stakeholders. It is equipped with international standards such </w:t>
      </w:r>
      <w:r w:rsidR="003B02F5">
        <w:rPr>
          <w:bCs/>
          <w:sz w:val="24"/>
          <w:szCs w:val="24"/>
        </w:rPr>
        <w:t xml:space="preserve">as </w:t>
      </w:r>
      <w:r w:rsidRPr="00F563CD">
        <w:rPr>
          <w:bCs/>
          <w:sz w:val="24"/>
          <w:szCs w:val="24"/>
        </w:rPr>
        <w:t>ICH-E2B and terminologies such as MedDRA and WHO-Drug. ADRs can be either manually entered by using these terminologies or can be uploaded via E2B upload. It is also equipped with e</w:t>
      </w:r>
      <w:r w:rsidR="003B02F5" w:rsidRPr="00F563CD">
        <w:rPr>
          <w:bCs/>
          <w:sz w:val="24"/>
          <w:szCs w:val="24"/>
        </w:rPr>
        <w:t>-</w:t>
      </w:r>
      <w:r w:rsidRPr="00F563CD">
        <w:rPr>
          <w:bCs/>
          <w:sz w:val="24"/>
          <w:szCs w:val="24"/>
        </w:rPr>
        <w:t>reporting wherein healthcare professionals and patient</w:t>
      </w:r>
      <w:r w:rsidR="003B02F5">
        <w:rPr>
          <w:bCs/>
          <w:sz w:val="24"/>
          <w:szCs w:val="24"/>
        </w:rPr>
        <w:t>s</w:t>
      </w:r>
      <w:r w:rsidRPr="00F563CD">
        <w:rPr>
          <w:bCs/>
          <w:sz w:val="24"/>
          <w:szCs w:val="24"/>
        </w:rPr>
        <w:t xml:space="preserve"> can directly report to National Centre. The data entered has </w:t>
      </w:r>
      <w:r w:rsidR="003B02F5">
        <w:rPr>
          <w:bCs/>
          <w:sz w:val="24"/>
          <w:szCs w:val="24"/>
        </w:rPr>
        <w:t xml:space="preserve">a </w:t>
      </w:r>
      <w:r w:rsidRPr="00F563CD">
        <w:rPr>
          <w:bCs/>
          <w:sz w:val="24"/>
          <w:szCs w:val="24"/>
        </w:rPr>
        <w:t xml:space="preserve">complete record in the form of audit and traceability. At the </w:t>
      </w:r>
      <w:r w:rsidR="003B02F5" w:rsidRPr="00F563CD">
        <w:rPr>
          <w:bCs/>
          <w:sz w:val="24"/>
          <w:szCs w:val="24"/>
        </w:rPr>
        <w:t xml:space="preserve">National </w:t>
      </w:r>
      <w:r w:rsidRPr="00F563CD">
        <w:rPr>
          <w:bCs/>
          <w:sz w:val="24"/>
          <w:szCs w:val="24"/>
        </w:rPr>
        <w:t xml:space="preserve">pharmacovigilance centre, the entered ADRs are saved and after assessment are transferred to </w:t>
      </w:r>
      <w:proofErr w:type="spellStart"/>
      <w:r w:rsidRPr="00F563CD">
        <w:rPr>
          <w:bCs/>
          <w:sz w:val="24"/>
          <w:szCs w:val="24"/>
        </w:rPr>
        <w:t>Vigibase</w:t>
      </w:r>
      <w:proofErr w:type="spellEnd"/>
      <w:r w:rsidR="003B02F5">
        <w:rPr>
          <w:bCs/>
          <w:sz w:val="24"/>
          <w:szCs w:val="24"/>
        </w:rPr>
        <w:t xml:space="preserve"> </w:t>
      </w:r>
      <w:r w:rsidR="003B02F5" w:rsidRPr="00F563CD">
        <w:rPr>
          <w:bCs/>
          <w:sz w:val="24"/>
          <w:szCs w:val="24"/>
        </w:rPr>
        <w:t>via one click</w:t>
      </w:r>
      <w:r w:rsidRPr="00F563CD">
        <w:rPr>
          <w:bCs/>
          <w:sz w:val="24"/>
          <w:szCs w:val="24"/>
        </w:rPr>
        <w:t xml:space="preserve">. The </w:t>
      </w:r>
      <w:proofErr w:type="spellStart"/>
      <w:r w:rsidRPr="00F563CD">
        <w:rPr>
          <w:bCs/>
          <w:sz w:val="24"/>
          <w:szCs w:val="24"/>
        </w:rPr>
        <w:t>VigiFlow</w:t>
      </w:r>
      <w:proofErr w:type="spellEnd"/>
      <w:r w:rsidRPr="00F563CD">
        <w:rPr>
          <w:bCs/>
          <w:sz w:val="24"/>
          <w:szCs w:val="24"/>
        </w:rPr>
        <w:t xml:space="preserve"> captures results from three causality assessment methods: WHO-UMC causality; Naranjo Algorithm; and WHO-AEFI. The new </w:t>
      </w:r>
      <w:proofErr w:type="spellStart"/>
      <w:r w:rsidRPr="00F563CD">
        <w:rPr>
          <w:bCs/>
          <w:sz w:val="24"/>
          <w:szCs w:val="24"/>
        </w:rPr>
        <w:t>VigiFlow</w:t>
      </w:r>
      <w:proofErr w:type="spellEnd"/>
      <w:r w:rsidRPr="00F563CD">
        <w:rPr>
          <w:bCs/>
          <w:sz w:val="24"/>
          <w:szCs w:val="24"/>
        </w:rPr>
        <w:t xml:space="preserve"> is focused more on decentralization by giving more autonomy to </w:t>
      </w:r>
      <w:r w:rsidR="003B02F5" w:rsidRPr="00F563CD">
        <w:rPr>
          <w:bCs/>
          <w:sz w:val="24"/>
          <w:szCs w:val="24"/>
        </w:rPr>
        <w:t xml:space="preserve">National </w:t>
      </w:r>
      <w:r w:rsidRPr="00F563CD">
        <w:rPr>
          <w:bCs/>
          <w:sz w:val="24"/>
          <w:szCs w:val="24"/>
        </w:rPr>
        <w:t xml:space="preserve">centres. There are three level hierarchies in </w:t>
      </w:r>
      <w:r w:rsidR="003B02F5">
        <w:rPr>
          <w:bCs/>
          <w:sz w:val="24"/>
          <w:szCs w:val="24"/>
        </w:rPr>
        <w:t xml:space="preserve">the </w:t>
      </w:r>
      <w:r w:rsidRPr="00F563CD">
        <w:rPr>
          <w:bCs/>
          <w:sz w:val="24"/>
          <w:szCs w:val="24"/>
        </w:rPr>
        <w:t xml:space="preserve">new </w:t>
      </w:r>
      <w:proofErr w:type="spellStart"/>
      <w:r w:rsidRPr="00F563CD">
        <w:rPr>
          <w:bCs/>
          <w:sz w:val="24"/>
          <w:szCs w:val="24"/>
        </w:rPr>
        <w:t>VigiFlow</w:t>
      </w:r>
      <w:proofErr w:type="spellEnd"/>
      <w:r w:rsidRPr="00F563CD">
        <w:rPr>
          <w:bCs/>
          <w:sz w:val="24"/>
          <w:szCs w:val="24"/>
        </w:rPr>
        <w:t xml:space="preserve"> i.e. </w:t>
      </w:r>
      <w:r w:rsidR="003B02F5" w:rsidRPr="00F563CD">
        <w:rPr>
          <w:bCs/>
          <w:sz w:val="24"/>
          <w:szCs w:val="24"/>
        </w:rPr>
        <w:t>National</w:t>
      </w:r>
      <w:r w:rsidRPr="00F563CD">
        <w:rPr>
          <w:bCs/>
          <w:sz w:val="24"/>
          <w:szCs w:val="24"/>
        </w:rPr>
        <w:t>, regional</w:t>
      </w:r>
      <w:r w:rsidR="003B02F5">
        <w:rPr>
          <w:bCs/>
          <w:sz w:val="24"/>
          <w:szCs w:val="24"/>
        </w:rPr>
        <w:t>/provincial</w:t>
      </w:r>
      <w:r w:rsidRPr="00F563CD">
        <w:rPr>
          <w:bCs/>
          <w:sz w:val="24"/>
          <w:szCs w:val="24"/>
        </w:rPr>
        <w:t xml:space="preserve"> and sub-regional</w:t>
      </w:r>
      <w:r w:rsidR="003B02F5">
        <w:rPr>
          <w:bCs/>
          <w:sz w:val="24"/>
          <w:szCs w:val="24"/>
        </w:rPr>
        <w:t xml:space="preserve"> (hospital or divisional level)</w:t>
      </w:r>
      <w:r w:rsidRPr="00F563CD">
        <w:rPr>
          <w:bCs/>
          <w:sz w:val="24"/>
          <w:szCs w:val="24"/>
        </w:rPr>
        <w:t xml:space="preserve">. Furthermore, ADRs can also be assigned by </w:t>
      </w:r>
      <w:r w:rsidR="003B02F5" w:rsidRPr="00F563CD">
        <w:rPr>
          <w:bCs/>
          <w:sz w:val="24"/>
          <w:szCs w:val="24"/>
        </w:rPr>
        <w:t xml:space="preserve">National </w:t>
      </w:r>
      <w:r w:rsidRPr="00F563CD">
        <w:rPr>
          <w:bCs/>
          <w:sz w:val="24"/>
          <w:szCs w:val="24"/>
        </w:rPr>
        <w:t>centres to regional centres.</w:t>
      </w:r>
    </w:p>
    <w:p w14:paraId="43931935" w14:textId="1AC3FD3B" w:rsidR="006C4F1F" w:rsidRPr="00720CB7" w:rsidRDefault="0023728B" w:rsidP="00720CB7">
      <w:pPr>
        <w:rPr>
          <w:i/>
          <w:iCs/>
          <w:sz w:val="24"/>
          <w:szCs w:val="24"/>
        </w:rPr>
      </w:pPr>
      <w:r w:rsidRPr="00720CB7">
        <w:rPr>
          <w:i/>
          <w:iCs/>
          <w:sz w:val="24"/>
          <w:szCs w:val="24"/>
        </w:rPr>
        <w:lastRenderedPageBreak/>
        <w:t xml:space="preserve">10.2.4 </w:t>
      </w:r>
      <w:proofErr w:type="spellStart"/>
      <w:r w:rsidR="006C4F1F" w:rsidRPr="00720CB7">
        <w:rPr>
          <w:i/>
          <w:iCs/>
          <w:sz w:val="24"/>
          <w:szCs w:val="24"/>
        </w:rPr>
        <w:t>VigiLyze</w:t>
      </w:r>
      <w:proofErr w:type="spellEnd"/>
      <w:r w:rsidR="006C4F1F" w:rsidRPr="00720CB7">
        <w:rPr>
          <w:i/>
          <w:iCs/>
          <w:sz w:val="24"/>
          <w:szCs w:val="24"/>
        </w:rPr>
        <w:t>.</w:t>
      </w:r>
    </w:p>
    <w:p w14:paraId="1E92FAC5" w14:textId="6A900795" w:rsidR="00F01BCD" w:rsidRPr="00F563CD" w:rsidRDefault="00E03A13" w:rsidP="00F65EB6">
      <w:pPr>
        <w:spacing w:after="120" w:line="360" w:lineRule="auto"/>
        <w:jc w:val="both"/>
        <w:rPr>
          <w:bCs/>
          <w:sz w:val="24"/>
          <w:szCs w:val="24"/>
        </w:rPr>
      </w:pPr>
      <w:hyperlink r:id="rId98" w:history="1">
        <w:proofErr w:type="spellStart"/>
        <w:r w:rsidR="006C4F1F" w:rsidRPr="00D344D4">
          <w:rPr>
            <w:rStyle w:val="Hyperlink"/>
            <w:bCs/>
            <w:sz w:val="24"/>
            <w:szCs w:val="24"/>
          </w:rPr>
          <w:t>VigiLyze</w:t>
        </w:r>
        <w:proofErr w:type="spellEnd"/>
      </w:hyperlink>
      <w:r w:rsidR="006C4F1F" w:rsidRPr="00F563CD">
        <w:rPr>
          <w:bCs/>
          <w:sz w:val="24"/>
          <w:szCs w:val="24"/>
        </w:rPr>
        <w:t xml:space="preserve"> is a powerful search and analysis tool that provides access to more than </w:t>
      </w:r>
      <w:r w:rsidR="003B02F5">
        <w:rPr>
          <w:bCs/>
          <w:sz w:val="24"/>
          <w:szCs w:val="24"/>
        </w:rPr>
        <w:t>3</w:t>
      </w:r>
      <w:r w:rsidR="006C4F1F" w:rsidRPr="00F563CD">
        <w:rPr>
          <w:bCs/>
          <w:sz w:val="24"/>
          <w:szCs w:val="24"/>
        </w:rPr>
        <w:t xml:space="preserve">0 million ICSRs in </w:t>
      </w:r>
      <w:proofErr w:type="spellStart"/>
      <w:r w:rsidR="006C4F1F" w:rsidRPr="00F563CD">
        <w:rPr>
          <w:bCs/>
          <w:sz w:val="24"/>
          <w:szCs w:val="24"/>
        </w:rPr>
        <w:t>VigiBase</w:t>
      </w:r>
      <w:proofErr w:type="spellEnd"/>
      <w:r w:rsidR="006C4F1F" w:rsidRPr="00F563CD">
        <w:rPr>
          <w:bCs/>
          <w:sz w:val="24"/>
          <w:szCs w:val="24"/>
        </w:rPr>
        <w:t xml:space="preserve">, submitted by over </w:t>
      </w:r>
      <w:r w:rsidR="003B02F5">
        <w:rPr>
          <w:bCs/>
          <w:sz w:val="24"/>
          <w:szCs w:val="24"/>
        </w:rPr>
        <w:t>152</w:t>
      </w:r>
      <w:r w:rsidR="006C4F1F" w:rsidRPr="00F563CD">
        <w:rPr>
          <w:bCs/>
          <w:sz w:val="24"/>
          <w:szCs w:val="24"/>
        </w:rPr>
        <w:t xml:space="preserve"> countries. </w:t>
      </w:r>
      <w:proofErr w:type="spellStart"/>
      <w:r w:rsidR="006C4F1F" w:rsidRPr="00F563CD">
        <w:rPr>
          <w:bCs/>
          <w:sz w:val="24"/>
          <w:szCs w:val="24"/>
        </w:rPr>
        <w:t>VigiLyze</w:t>
      </w:r>
      <w:proofErr w:type="spellEnd"/>
      <w:r w:rsidR="006C4F1F" w:rsidRPr="00F563CD">
        <w:rPr>
          <w:bCs/>
          <w:sz w:val="24"/>
          <w:szCs w:val="24"/>
        </w:rPr>
        <w:t xml:space="preserve"> includes data on allopathic medicines, traditional medicines (herbals), as well as biological medicines, including vaccines. Results from </w:t>
      </w:r>
      <w:proofErr w:type="spellStart"/>
      <w:r w:rsidR="006C4F1F" w:rsidRPr="00F563CD">
        <w:rPr>
          <w:bCs/>
          <w:sz w:val="24"/>
          <w:szCs w:val="24"/>
        </w:rPr>
        <w:t>VigiLyze</w:t>
      </w:r>
      <w:proofErr w:type="spellEnd"/>
      <w:r w:rsidR="006C4F1F" w:rsidRPr="00F563CD">
        <w:rPr>
          <w:bCs/>
          <w:sz w:val="24"/>
          <w:szCs w:val="24"/>
        </w:rPr>
        <w:t xml:space="preserve"> are generated instantly in tabular and graphical formats. </w:t>
      </w:r>
      <w:proofErr w:type="spellStart"/>
      <w:r w:rsidR="006C4F1F" w:rsidRPr="00F563CD">
        <w:rPr>
          <w:bCs/>
          <w:sz w:val="24"/>
          <w:szCs w:val="24"/>
        </w:rPr>
        <w:t>VigiLyze</w:t>
      </w:r>
      <w:proofErr w:type="spellEnd"/>
      <w:r w:rsidR="006C4F1F" w:rsidRPr="00F563CD">
        <w:rPr>
          <w:bCs/>
          <w:sz w:val="24"/>
          <w:szCs w:val="24"/>
        </w:rPr>
        <w:t xml:space="preserve"> is available to PV </w:t>
      </w:r>
      <w:r w:rsidR="003B02F5" w:rsidRPr="00F563CD">
        <w:rPr>
          <w:bCs/>
          <w:sz w:val="24"/>
          <w:szCs w:val="24"/>
        </w:rPr>
        <w:t xml:space="preserve">National </w:t>
      </w:r>
      <w:r w:rsidR="006C4F1F" w:rsidRPr="00F563CD">
        <w:rPr>
          <w:bCs/>
          <w:sz w:val="24"/>
          <w:szCs w:val="24"/>
        </w:rPr>
        <w:t>centres in all member countries of the WHO Programme for International Drug Monitoring. It is web</w:t>
      </w:r>
      <w:r w:rsidR="003B02F5">
        <w:rPr>
          <w:bCs/>
          <w:sz w:val="24"/>
          <w:szCs w:val="24"/>
        </w:rPr>
        <w:t>-</w:t>
      </w:r>
      <w:r w:rsidR="006C4F1F" w:rsidRPr="00F563CD">
        <w:rPr>
          <w:bCs/>
          <w:sz w:val="24"/>
          <w:szCs w:val="24"/>
        </w:rPr>
        <w:t>based, easily assessable and user</w:t>
      </w:r>
      <w:r w:rsidR="003B02F5">
        <w:rPr>
          <w:bCs/>
          <w:sz w:val="24"/>
          <w:szCs w:val="24"/>
        </w:rPr>
        <w:t>-</w:t>
      </w:r>
      <w:r w:rsidR="006C4F1F" w:rsidRPr="00F563CD">
        <w:rPr>
          <w:bCs/>
          <w:sz w:val="24"/>
          <w:szCs w:val="24"/>
        </w:rPr>
        <w:t xml:space="preserve">friendly and it can be accessed only through secure logins. </w:t>
      </w:r>
      <w:proofErr w:type="spellStart"/>
      <w:r w:rsidR="006C4F1F" w:rsidRPr="00F563CD">
        <w:rPr>
          <w:bCs/>
          <w:sz w:val="24"/>
          <w:szCs w:val="24"/>
        </w:rPr>
        <w:t>VigiLyze</w:t>
      </w:r>
      <w:proofErr w:type="spellEnd"/>
      <w:r w:rsidR="006C4F1F" w:rsidRPr="00F563CD">
        <w:rPr>
          <w:bCs/>
          <w:sz w:val="24"/>
          <w:szCs w:val="24"/>
        </w:rPr>
        <w:t xml:space="preserve"> can provide </w:t>
      </w:r>
      <w:r w:rsidR="003B02F5">
        <w:rPr>
          <w:bCs/>
          <w:sz w:val="24"/>
          <w:szCs w:val="24"/>
        </w:rPr>
        <w:t xml:space="preserve">a </w:t>
      </w:r>
      <w:r w:rsidR="006C4F1F" w:rsidRPr="00F563CD">
        <w:rPr>
          <w:bCs/>
          <w:sz w:val="24"/>
          <w:szCs w:val="24"/>
        </w:rPr>
        <w:t xml:space="preserve">global, regional or </w:t>
      </w:r>
      <w:r w:rsidR="003B02F5" w:rsidRPr="00F563CD">
        <w:rPr>
          <w:bCs/>
          <w:sz w:val="24"/>
          <w:szCs w:val="24"/>
        </w:rPr>
        <w:t xml:space="preserve">National </w:t>
      </w:r>
      <w:r w:rsidR="006C4F1F" w:rsidRPr="00F563CD">
        <w:rPr>
          <w:bCs/>
          <w:sz w:val="24"/>
          <w:szCs w:val="24"/>
        </w:rPr>
        <w:t xml:space="preserve">view of the suspected adverse effects of a medicine. It is equipped with terminologies such as MedDRA and WHO-Drug which make the search standardized in </w:t>
      </w:r>
      <w:proofErr w:type="spellStart"/>
      <w:r w:rsidR="006C4F1F" w:rsidRPr="00F563CD">
        <w:rPr>
          <w:bCs/>
          <w:sz w:val="24"/>
          <w:szCs w:val="24"/>
        </w:rPr>
        <w:t>VigiLyze</w:t>
      </w:r>
      <w:proofErr w:type="spellEnd"/>
      <w:r w:rsidR="006C4F1F" w:rsidRPr="00F563CD">
        <w:rPr>
          <w:bCs/>
          <w:sz w:val="24"/>
          <w:szCs w:val="24"/>
        </w:rPr>
        <w:t xml:space="preserve">. The new </w:t>
      </w:r>
      <w:proofErr w:type="spellStart"/>
      <w:r w:rsidR="006C4F1F" w:rsidRPr="00F563CD">
        <w:rPr>
          <w:bCs/>
          <w:sz w:val="24"/>
          <w:szCs w:val="24"/>
        </w:rPr>
        <w:t>VigiLyze</w:t>
      </w:r>
      <w:proofErr w:type="spellEnd"/>
      <w:r w:rsidR="006C4F1F" w:rsidRPr="00F563CD">
        <w:rPr>
          <w:bCs/>
          <w:sz w:val="24"/>
          <w:szCs w:val="24"/>
        </w:rPr>
        <w:t xml:space="preserve"> provides two view</w:t>
      </w:r>
      <w:r w:rsidR="003B02F5">
        <w:rPr>
          <w:bCs/>
          <w:sz w:val="24"/>
          <w:szCs w:val="24"/>
        </w:rPr>
        <w:t>s</w:t>
      </w:r>
      <w:r w:rsidR="006C4F1F" w:rsidRPr="00F563CD">
        <w:rPr>
          <w:bCs/>
          <w:sz w:val="24"/>
          <w:szCs w:val="24"/>
        </w:rPr>
        <w:t xml:space="preserve"> i.e. qualitative view and </w:t>
      </w:r>
      <w:r w:rsidR="003B02F5">
        <w:rPr>
          <w:bCs/>
          <w:sz w:val="24"/>
          <w:szCs w:val="24"/>
        </w:rPr>
        <w:t xml:space="preserve">a </w:t>
      </w:r>
      <w:r w:rsidR="006C4F1F" w:rsidRPr="00F563CD">
        <w:rPr>
          <w:bCs/>
          <w:sz w:val="24"/>
          <w:szCs w:val="24"/>
        </w:rPr>
        <w:t xml:space="preserve">quantitative view. In </w:t>
      </w:r>
      <w:r w:rsidR="003B02F5">
        <w:rPr>
          <w:bCs/>
          <w:sz w:val="24"/>
          <w:szCs w:val="24"/>
        </w:rPr>
        <w:t xml:space="preserve">a </w:t>
      </w:r>
      <w:r w:rsidR="006C4F1F" w:rsidRPr="00F563CD">
        <w:rPr>
          <w:bCs/>
          <w:sz w:val="24"/>
          <w:szCs w:val="24"/>
        </w:rPr>
        <w:t xml:space="preserve">qualitative view, the ICSRs can be viewed in tabular and chart form, filtered by country, region, gender, age etc., and these ICSRs can be exported to </w:t>
      </w:r>
      <w:r w:rsidR="003B02F5">
        <w:rPr>
          <w:bCs/>
          <w:sz w:val="24"/>
          <w:szCs w:val="24"/>
        </w:rPr>
        <w:t xml:space="preserve">an </w:t>
      </w:r>
      <w:r w:rsidR="006C4F1F" w:rsidRPr="00F563CD">
        <w:rPr>
          <w:bCs/>
          <w:sz w:val="24"/>
          <w:szCs w:val="24"/>
        </w:rPr>
        <w:t>excel sheet and further search</w:t>
      </w:r>
      <w:r w:rsidR="003B02F5">
        <w:rPr>
          <w:bCs/>
          <w:sz w:val="24"/>
          <w:szCs w:val="24"/>
        </w:rPr>
        <w:t>ed</w:t>
      </w:r>
      <w:r w:rsidR="006C4F1F" w:rsidRPr="00F563CD">
        <w:rPr>
          <w:bCs/>
          <w:sz w:val="24"/>
          <w:szCs w:val="24"/>
        </w:rPr>
        <w:t xml:space="preserve"> by applying different filters. Whereas, </w:t>
      </w:r>
      <w:r w:rsidR="003B02F5">
        <w:rPr>
          <w:bCs/>
          <w:sz w:val="24"/>
          <w:szCs w:val="24"/>
        </w:rPr>
        <w:t xml:space="preserve">the </w:t>
      </w:r>
      <w:r w:rsidR="006C4F1F" w:rsidRPr="00F563CD">
        <w:rPr>
          <w:bCs/>
          <w:sz w:val="24"/>
          <w:szCs w:val="24"/>
        </w:rPr>
        <w:t xml:space="preserve">Quantitative view is equipped with data mining tools such </w:t>
      </w:r>
      <w:r w:rsidR="003B02F5">
        <w:rPr>
          <w:bCs/>
          <w:sz w:val="24"/>
          <w:szCs w:val="24"/>
        </w:rPr>
        <w:t xml:space="preserve">as </w:t>
      </w:r>
      <w:r w:rsidR="006C4F1F" w:rsidRPr="00F563CD">
        <w:rPr>
          <w:bCs/>
          <w:sz w:val="24"/>
          <w:szCs w:val="24"/>
        </w:rPr>
        <w:t xml:space="preserve">Information Component (IC) and IC 0.25, that measure </w:t>
      </w:r>
      <w:r w:rsidR="003B02F5">
        <w:rPr>
          <w:bCs/>
          <w:sz w:val="24"/>
          <w:szCs w:val="24"/>
        </w:rPr>
        <w:t xml:space="preserve">the </w:t>
      </w:r>
      <w:r w:rsidR="006C4F1F" w:rsidRPr="00F563CD">
        <w:rPr>
          <w:bCs/>
          <w:sz w:val="24"/>
          <w:szCs w:val="24"/>
        </w:rPr>
        <w:t xml:space="preserve">disproportionality of </w:t>
      </w:r>
      <w:r w:rsidR="003B02F5">
        <w:rPr>
          <w:bCs/>
          <w:sz w:val="24"/>
          <w:szCs w:val="24"/>
        </w:rPr>
        <w:t xml:space="preserve">the </w:t>
      </w:r>
      <w:r w:rsidR="003B02F5" w:rsidRPr="00F563CD">
        <w:rPr>
          <w:bCs/>
          <w:sz w:val="24"/>
          <w:szCs w:val="24"/>
        </w:rPr>
        <w:t>Drug</w:t>
      </w:r>
      <w:r w:rsidR="006C4F1F" w:rsidRPr="00F563CD">
        <w:rPr>
          <w:bCs/>
          <w:sz w:val="24"/>
          <w:szCs w:val="24"/>
        </w:rPr>
        <w:t xml:space="preserve">-ADR combination in </w:t>
      </w:r>
      <w:proofErr w:type="spellStart"/>
      <w:r w:rsidR="006C4F1F" w:rsidRPr="00F563CD">
        <w:rPr>
          <w:bCs/>
          <w:sz w:val="24"/>
          <w:szCs w:val="24"/>
        </w:rPr>
        <w:t>VigiBase</w:t>
      </w:r>
      <w:proofErr w:type="spellEnd"/>
      <w:r w:rsidR="006C4F1F" w:rsidRPr="00F563CD">
        <w:rPr>
          <w:bCs/>
          <w:sz w:val="24"/>
          <w:szCs w:val="24"/>
        </w:rPr>
        <w:t xml:space="preserve">. It helps in signal detection by applying powerful filters that enable the assessor to view the </w:t>
      </w:r>
      <w:r w:rsidR="003B02F5" w:rsidRPr="00F563CD">
        <w:rPr>
          <w:bCs/>
          <w:sz w:val="24"/>
          <w:szCs w:val="24"/>
        </w:rPr>
        <w:t>Drug</w:t>
      </w:r>
      <w:r w:rsidR="006C4F1F" w:rsidRPr="00F563CD">
        <w:rPr>
          <w:bCs/>
          <w:sz w:val="24"/>
          <w:szCs w:val="24"/>
        </w:rPr>
        <w:t>-ADR combination in different countries and by going higher up in the hierarchy of MedDRA and WHO-Drug to increase the span of search.</w:t>
      </w:r>
    </w:p>
    <w:p w14:paraId="574C2389" w14:textId="77777777" w:rsidR="006C4F1F" w:rsidRPr="0023728B" w:rsidRDefault="006C4F1F" w:rsidP="008F6E7A">
      <w:pPr>
        <w:spacing w:line="360" w:lineRule="auto"/>
        <w:rPr>
          <w:b/>
          <w:bCs/>
          <w:sz w:val="28"/>
          <w:szCs w:val="28"/>
          <w:u w:val="single"/>
        </w:rPr>
      </w:pPr>
      <w:r w:rsidRPr="0023728B">
        <w:rPr>
          <w:b/>
          <w:bCs/>
          <w:sz w:val="28"/>
          <w:szCs w:val="28"/>
          <w:u w:val="single"/>
        </w:rPr>
        <w:t>10.3 Medical Dictionary for Regulatory Activities (MedDRA).</w:t>
      </w:r>
    </w:p>
    <w:p w14:paraId="1EFC2400" w14:textId="1389EA6B" w:rsidR="006C4F1F" w:rsidRPr="00F563CD" w:rsidRDefault="00E03A13" w:rsidP="008F6E7A">
      <w:pPr>
        <w:spacing w:line="360" w:lineRule="auto"/>
        <w:jc w:val="both"/>
        <w:rPr>
          <w:rStyle w:val="Hyperlink"/>
          <w:sz w:val="24"/>
          <w:szCs w:val="24"/>
        </w:rPr>
      </w:pPr>
      <w:hyperlink r:id="rId99" w:history="1">
        <w:r w:rsidR="006C4F1F" w:rsidRPr="00A104B5">
          <w:rPr>
            <w:rStyle w:val="Hyperlink"/>
            <w:bCs/>
            <w:sz w:val="24"/>
            <w:szCs w:val="24"/>
          </w:rPr>
          <w:t>MedDRA</w:t>
        </w:r>
      </w:hyperlink>
      <w:r w:rsidR="006C4F1F" w:rsidRPr="00F563CD">
        <w:rPr>
          <w:bCs/>
          <w:sz w:val="24"/>
          <w:szCs w:val="24"/>
        </w:rPr>
        <w:t xml:space="preserve"> is not a dictionary </w:t>
      </w:r>
      <w:r w:rsidR="003B02F5">
        <w:rPr>
          <w:bCs/>
          <w:sz w:val="24"/>
          <w:szCs w:val="24"/>
        </w:rPr>
        <w:t xml:space="preserve">but </w:t>
      </w:r>
      <w:r w:rsidR="006C4F1F" w:rsidRPr="00F563CD">
        <w:rPr>
          <w:bCs/>
          <w:sz w:val="24"/>
          <w:szCs w:val="24"/>
        </w:rPr>
        <w:t>rather a clinically-validated international medical terminolog</w:t>
      </w:r>
      <w:r w:rsidR="003B02F5">
        <w:rPr>
          <w:bCs/>
          <w:sz w:val="24"/>
          <w:szCs w:val="24"/>
        </w:rPr>
        <w:t>y</w:t>
      </w:r>
      <w:r w:rsidR="006C4F1F" w:rsidRPr="00F563CD">
        <w:rPr>
          <w:bCs/>
          <w:sz w:val="24"/>
          <w:szCs w:val="24"/>
        </w:rPr>
        <w:t xml:space="preserve"> used by regulatory authorities and </w:t>
      </w:r>
      <w:r w:rsidR="003B02F5">
        <w:rPr>
          <w:bCs/>
          <w:sz w:val="24"/>
          <w:szCs w:val="24"/>
        </w:rPr>
        <w:t xml:space="preserve">the </w:t>
      </w:r>
      <w:r w:rsidR="006C4F1F" w:rsidRPr="00F563CD">
        <w:rPr>
          <w:bCs/>
          <w:sz w:val="24"/>
          <w:szCs w:val="24"/>
        </w:rPr>
        <w:t xml:space="preserve">regulatory biopharmaceutical industry through the entire regulatory process, from pre-marketing to post-marketing, and for data entry, retrieval, evolution, and presentation. MedDRA was developed under the auspices of the International Council for Harmonization of Technical Requirements for Pharmaceuticals for Human Use (ICH). The activities of the MedDRA Maintenance and Support Services Organization (MSSO) are overseen by an ICH MedDRA </w:t>
      </w:r>
      <w:r w:rsidR="003B02F5" w:rsidRPr="00F563CD">
        <w:rPr>
          <w:bCs/>
          <w:sz w:val="24"/>
          <w:szCs w:val="24"/>
        </w:rPr>
        <w:t>Management Committee</w:t>
      </w:r>
      <w:r w:rsidR="006C4F1F" w:rsidRPr="00F563CD">
        <w:rPr>
          <w:bCs/>
          <w:sz w:val="24"/>
          <w:szCs w:val="24"/>
        </w:rPr>
        <w:t xml:space="preserve">. Since ADRs and other clinical terms are coded into standardized terms while entering the data into </w:t>
      </w:r>
      <w:proofErr w:type="spellStart"/>
      <w:r w:rsidR="006C4F1F" w:rsidRPr="00F563CD">
        <w:rPr>
          <w:bCs/>
          <w:sz w:val="24"/>
          <w:szCs w:val="24"/>
        </w:rPr>
        <w:t>VigiFlow</w:t>
      </w:r>
      <w:proofErr w:type="spellEnd"/>
      <w:r w:rsidR="006C4F1F" w:rsidRPr="00F563CD">
        <w:rPr>
          <w:bCs/>
          <w:sz w:val="24"/>
          <w:szCs w:val="24"/>
        </w:rPr>
        <w:t xml:space="preserve">, therefore, the license of MedDRA-MSSO is obtained by the National Pharmacovigilance Centre of the country.  All the terms are divided into 27 System Organ Class (SOC); </w:t>
      </w:r>
      <w:r w:rsidR="003B02F5">
        <w:rPr>
          <w:bCs/>
          <w:sz w:val="24"/>
          <w:szCs w:val="24"/>
        </w:rPr>
        <w:t>which</w:t>
      </w:r>
      <w:r w:rsidR="006C4F1F" w:rsidRPr="00F563CD">
        <w:rPr>
          <w:bCs/>
          <w:sz w:val="24"/>
          <w:szCs w:val="24"/>
        </w:rPr>
        <w:t xml:space="preserve"> are further sub</w:t>
      </w:r>
      <w:r w:rsidR="003B02F5">
        <w:rPr>
          <w:bCs/>
          <w:sz w:val="24"/>
          <w:szCs w:val="24"/>
        </w:rPr>
        <w:t>-</w:t>
      </w:r>
      <w:r w:rsidR="006C4F1F" w:rsidRPr="00F563CD">
        <w:rPr>
          <w:bCs/>
          <w:sz w:val="24"/>
          <w:szCs w:val="24"/>
        </w:rPr>
        <w:t>divided into 337 High</w:t>
      </w:r>
      <w:r w:rsidR="003B02F5">
        <w:rPr>
          <w:bCs/>
          <w:sz w:val="24"/>
          <w:szCs w:val="24"/>
        </w:rPr>
        <w:t>-</w:t>
      </w:r>
      <w:r w:rsidR="006C4F1F" w:rsidRPr="00F563CD">
        <w:rPr>
          <w:bCs/>
          <w:sz w:val="24"/>
          <w:szCs w:val="24"/>
        </w:rPr>
        <w:t>Level Group Term (HLGT); 173</w:t>
      </w:r>
      <w:r w:rsidR="00F34661">
        <w:rPr>
          <w:bCs/>
          <w:sz w:val="24"/>
          <w:szCs w:val="24"/>
        </w:rPr>
        <w:t>8</w:t>
      </w:r>
      <w:r w:rsidR="006C4F1F" w:rsidRPr="00F563CD">
        <w:rPr>
          <w:bCs/>
          <w:sz w:val="24"/>
          <w:szCs w:val="24"/>
        </w:rPr>
        <w:t xml:space="preserve"> High</w:t>
      </w:r>
      <w:r w:rsidR="003B02F5">
        <w:rPr>
          <w:bCs/>
          <w:sz w:val="24"/>
          <w:szCs w:val="24"/>
        </w:rPr>
        <w:t>-</w:t>
      </w:r>
      <w:r w:rsidR="006C4F1F" w:rsidRPr="00F563CD">
        <w:rPr>
          <w:bCs/>
          <w:sz w:val="24"/>
          <w:szCs w:val="24"/>
        </w:rPr>
        <w:t xml:space="preserve">Level Term (HLT); </w:t>
      </w:r>
      <w:r w:rsidR="00D561A5">
        <w:rPr>
          <w:bCs/>
          <w:sz w:val="24"/>
          <w:szCs w:val="24"/>
        </w:rPr>
        <w:t>25,412</w:t>
      </w:r>
      <w:r w:rsidR="006C4F1F" w:rsidRPr="00F563CD">
        <w:rPr>
          <w:bCs/>
          <w:sz w:val="24"/>
          <w:szCs w:val="24"/>
        </w:rPr>
        <w:t xml:space="preserve"> Preferred Term (PT); and 8</w:t>
      </w:r>
      <w:r w:rsidR="005D3B67">
        <w:rPr>
          <w:bCs/>
          <w:sz w:val="24"/>
          <w:szCs w:val="24"/>
        </w:rPr>
        <w:t>5</w:t>
      </w:r>
      <w:r w:rsidR="006C4F1F" w:rsidRPr="00F563CD">
        <w:rPr>
          <w:bCs/>
          <w:sz w:val="24"/>
          <w:szCs w:val="24"/>
        </w:rPr>
        <w:t>,</w:t>
      </w:r>
      <w:r w:rsidR="00F34661">
        <w:rPr>
          <w:bCs/>
          <w:sz w:val="24"/>
          <w:szCs w:val="24"/>
        </w:rPr>
        <w:t>885</w:t>
      </w:r>
      <w:r w:rsidR="006C4F1F" w:rsidRPr="00F563CD">
        <w:rPr>
          <w:bCs/>
          <w:sz w:val="24"/>
          <w:szCs w:val="24"/>
        </w:rPr>
        <w:t xml:space="preserve"> Lowest Level Term (LLT). In addition, there are 104 Standardized MedDRA Queries (SMQs) constructed at the level of </w:t>
      </w:r>
      <w:r w:rsidR="00F34661" w:rsidRPr="00F563CD">
        <w:rPr>
          <w:bCs/>
          <w:sz w:val="24"/>
          <w:szCs w:val="24"/>
        </w:rPr>
        <w:t>Preferred Term</w:t>
      </w:r>
      <w:r w:rsidR="00F34661">
        <w:rPr>
          <w:bCs/>
          <w:sz w:val="24"/>
          <w:szCs w:val="24"/>
        </w:rPr>
        <w:t>s</w:t>
      </w:r>
      <w:r w:rsidR="00F34661" w:rsidRPr="00F563CD">
        <w:rPr>
          <w:bCs/>
          <w:sz w:val="24"/>
          <w:szCs w:val="24"/>
        </w:rPr>
        <w:t xml:space="preserve"> </w:t>
      </w:r>
      <w:r w:rsidR="006C4F1F" w:rsidRPr="00F563CD">
        <w:rPr>
          <w:bCs/>
          <w:sz w:val="24"/>
          <w:szCs w:val="24"/>
        </w:rPr>
        <w:t xml:space="preserve">level, wherein terms from one or more MedDRA SOCs </w:t>
      </w:r>
      <w:r w:rsidR="006C4F1F" w:rsidRPr="00F563CD">
        <w:rPr>
          <w:bCs/>
          <w:sz w:val="24"/>
          <w:szCs w:val="24"/>
        </w:rPr>
        <w:lastRenderedPageBreak/>
        <w:t xml:space="preserve">related to medical condition or area of interest are grouped together to help in signal detection and other screening purpose. More information about MedDRA and online training can be accessed through the </w:t>
      </w:r>
      <w:hyperlink r:id="rId100" w:history="1">
        <w:r w:rsidR="00BD7907" w:rsidRPr="009703B7">
          <w:rPr>
            <w:rStyle w:val="Hyperlink"/>
            <w:bCs/>
            <w:sz w:val="24"/>
            <w:szCs w:val="24"/>
          </w:rPr>
          <w:t>MedDRA website.</w:t>
        </w:r>
      </w:hyperlink>
    </w:p>
    <w:p w14:paraId="7C2DA3F7" w14:textId="16751B77" w:rsidR="00C94570" w:rsidRPr="00F563CD" w:rsidRDefault="00C94570" w:rsidP="00F563CD">
      <w:pPr>
        <w:widowControl/>
        <w:spacing w:before="120" w:after="120" w:line="276" w:lineRule="auto"/>
        <w:jc w:val="both"/>
        <w:rPr>
          <w:sz w:val="24"/>
          <w:szCs w:val="24"/>
        </w:rPr>
      </w:pPr>
      <w:r w:rsidRPr="00F563CD">
        <w:rPr>
          <w:sz w:val="24"/>
          <w:szCs w:val="24"/>
        </w:rPr>
        <w:br w:type="page"/>
      </w:r>
    </w:p>
    <w:tbl>
      <w:tblPr>
        <w:tblStyle w:val="TableGrid"/>
        <w:tblW w:w="0" w:type="auto"/>
        <w:tblLook w:val="04A0" w:firstRow="1" w:lastRow="0" w:firstColumn="1" w:lastColumn="0" w:noHBand="0" w:noVBand="1"/>
      </w:tblPr>
      <w:tblGrid>
        <w:gridCol w:w="9350"/>
      </w:tblGrid>
      <w:tr w:rsidR="00C94570" w14:paraId="58B1BFAA" w14:textId="77777777" w:rsidTr="00C94570">
        <w:tc>
          <w:tcPr>
            <w:tcW w:w="9350" w:type="dxa"/>
            <w:shd w:val="clear" w:color="auto" w:fill="00B0F0"/>
          </w:tcPr>
          <w:p w14:paraId="00EE8004" w14:textId="5F467CC2" w:rsidR="00C94570" w:rsidRPr="00C94570" w:rsidRDefault="00C94570" w:rsidP="00C94570">
            <w:pPr>
              <w:spacing w:before="120" w:after="120" w:line="276" w:lineRule="auto"/>
              <w:jc w:val="center"/>
              <w:rPr>
                <w:b/>
                <w:bCs/>
                <w:sz w:val="24"/>
                <w:szCs w:val="24"/>
              </w:rPr>
            </w:pPr>
            <w:r w:rsidRPr="007C07DE">
              <w:rPr>
                <w:b/>
                <w:bCs/>
                <w:sz w:val="32"/>
                <w:szCs w:val="32"/>
              </w:rPr>
              <w:lastRenderedPageBreak/>
              <w:t>CHAPTER 11</w:t>
            </w:r>
          </w:p>
        </w:tc>
      </w:tr>
    </w:tbl>
    <w:p w14:paraId="5301F1D1" w14:textId="03006719" w:rsidR="00E60DFF" w:rsidRPr="006635C4" w:rsidRDefault="001A4171" w:rsidP="004B6E61">
      <w:pPr>
        <w:spacing w:after="120"/>
        <w:ind w:left="720" w:hanging="720"/>
        <w:jc w:val="both"/>
        <w:rPr>
          <w:rStyle w:val="Level1DRAPChar"/>
          <w:bCs/>
        </w:rPr>
      </w:pPr>
      <w:bookmarkStart w:id="363" w:name="_Toc110329945"/>
      <w:r w:rsidRPr="006635C4">
        <w:rPr>
          <w:rStyle w:val="Level1DRAPChar"/>
          <w:bCs/>
        </w:rPr>
        <w:t xml:space="preserve">11. </w:t>
      </w:r>
      <w:r w:rsidRPr="006635C4">
        <w:rPr>
          <w:rStyle w:val="Level1DRAPChar"/>
          <w:bCs/>
        </w:rPr>
        <w:tab/>
      </w:r>
      <w:r w:rsidR="0072624E" w:rsidRPr="006635C4">
        <w:rPr>
          <w:rStyle w:val="Level1DRAPChar"/>
          <w:bCs/>
        </w:rPr>
        <w:t>PHARMACOVIGILANCE INDICATORS FOR ASSESSMENT OF PHARMACOVIGILANCE SYSTEM.</w:t>
      </w:r>
      <w:bookmarkEnd w:id="363"/>
    </w:p>
    <w:p w14:paraId="6F2E545F" w14:textId="098DBFCC" w:rsidR="009E6B1F" w:rsidRPr="009E6B1F" w:rsidRDefault="009E6B1F" w:rsidP="004B6E61">
      <w:pPr>
        <w:spacing w:after="120" w:line="360" w:lineRule="auto"/>
        <w:jc w:val="both"/>
        <w:rPr>
          <w:rFonts w:cs="Plantin Light"/>
          <w:color w:val="221E1F"/>
          <w:sz w:val="28"/>
          <w:szCs w:val="28"/>
          <w:u w:val="single"/>
        </w:rPr>
      </w:pPr>
      <w:r w:rsidRPr="00242D60">
        <w:rPr>
          <w:rFonts w:cs="Plantin Light"/>
          <w:b/>
          <w:bCs/>
          <w:color w:val="221E1F"/>
          <w:sz w:val="28"/>
          <w:szCs w:val="28"/>
        </w:rPr>
        <w:t>11.1</w:t>
      </w:r>
      <w:r w:rsidRPr="009E6B1F">
        <w:rPr>
          <w:rFonts w:cs="Plantin Light"/>
          <w:color w:val="221E1F"/>
          <w:sz w:val="28"/>
          <w:szCs w:val="28"/>
        </w:rPr>
        <w:t xml:space="preserve"> </w:t>
      </w:r>
      <w:r w:rsidRPr="009E6B1F">
        <w:rPr>
          <w:rFonts w:cs="Plantin Light"/>
          <w:b/>
          <w:bCs/>
          <w:color w:val="221E1F"/>
          <w:sz w:val="28"/>
          <w:szCs w:val="28"/>
          <w:u w:val="single"/>
        </w:rPr>
        <w:t>Pharmacovigilance Indicators</w:t>
      </w:r>
    </w:p>
    <w:p w14:paraId="4CF4D647" w14:textId="1E03A4D7" w:rsidR="00F36ECC" w:rsidRPr="009E6B1F" w:rsidRDefault="00F36ECC" w:rsidP="009E6B1F">
      <w:pPr>
        <w:spacing w:after="120" w:line="360" w:lineRule="auto"/>
        <w:jc w:val="both"/>
        <w:rPr>
          <w:rFonts w:cs="Plantin Light"/>
          <w:color w:val="221E1F"/>
          <w:sz w:val="24"/>
          <w:szCs w:val="24"/>
        </w:rPr>
      </w:pPr>
      <w:r w:rsidRPr="009E6B1F">
        <w:rPr>
          <w:rFonts w:cs="Plantin Light"/>
          <w:color w:val="221E1F"/>
          <w:sz w:val="24"/>
          <w:szCs w:val="24"/>
        </w:rPr>
        <w:t>Pharmacovigilance indicators are measures of inputs, processes, outputs, outcomes, and impacts of development projects, programmes or policies related to health systems and services. They provide information for measuring how well a pharmacovigilance programme is achieving its objectives. These indicators measure the existence and performance of key pharma</w:t>
      </w:r>
      <w:r w:rsidRPr="009E6B1F">
        <w:rPr>
          <w:rFonts w:cs="Plantin Light"/>
          <w:color w:val="221E1F"/>
          <w:sz w:val="24"/>
          <w:szCs w:val="24"/>
        </w:rPr>
        <w:softHyphen/>
        <w:t>covigilance structures and processes and be able to identify the strengths and weaknesses, as well as revealing the achievements, growth or lack of growth of the pharmacovigilance systems. They also measure the degree of attainment of set strategic objectives. The main objective of the pharmacovigilance indicators is to provide measures that will enable the assessment of the status of pharmacovigilance, the activities and their impact, globally at all levels of the healthcare system, with a view to ensuring patient safety.</w:t>
      </w:r>
    </w:p>
    <w:p w14:paraId="7C6F978B" w14:textId="4E8E6072" w:rsidR="00F36ECC" w:rsidRPr="00D13D23" w:rsidRDefault="009E6B1F" w:rsidP="00D13D23">
      <w:pPr>
        <w:spacing w:after="120" w:line="360" w:lineRule="auto"/>
        <w:jc w:val="both"/>
        <w:rPr>
          <w:rFonts w:cs="Plantin Light"/>
          <w:color w:val="221E1F"/>
          <w:sz w:val="24"/>
          <w:szCs w:val="24"/>
        </w:rPr>
      </w:pPr>
      <w:r w:rsidRPr="009E6B1F">
        <w:rPr>
          <w:rFonts w:cs="Plantin Light"/>
          <w:color w:val="221E1F"/>
          <w:sz w:val="24"/>
          <w:szCs w:val="24"/>
        </w:rPr>
        <w:t xml:space="preserve">The indicators are expected to give a panoramic view of the pharmacovigilance landscape. Some of the indices may be measured annually or more frequently. However, for indices requiring epidemiological studies, surveys, and/or research which is likely to be cost-intensive (both financial cost and personnel time), measurements </w:t>
      </w:r>
      <w:r w:rsidR="00D13D23">
        <w:rPr>
          <w:rFonts w:cs="Plantin Light"/>
          <w:color w:val="221E1F"/>
          <w:sz w:val="24"/>
          <w:szCs w:val="24"/>
        </w:rPr>
        <w:t xml:space="preserve">may </w:t>
      </w:r>
      <w:r w:rsidRPr="009E6B1F">
        <w:rPr>
          <w:rFonts w:cs="Plantin Light"/>
          <w:color w:val="221E1F"/>
          <w:sz w:val="24"/>
          <w:szCs w:val="24"/>
        </w:rPr>
        <w:t>be less frequent, in some instances every 5 years. This is especially true for indicators that measure the outcome or impact of various pharmacovigilance activities, which often require consid</w:t>
      </w:r>
      <w:r w:rsidRPr="009E6B1F">
        <w:rPr>
          <w:rFonts w:cs="Plantin Light"/>
          <w:color w:val="221E1F"/>
          <w:sz w:val="24"/>
          <w:szCs w:val="24"/>
        </w:rPr>
        <w:softHyphen/>
        <w:t>erable resources and expertise.</w:t>
      </w:r>
    </w:p>
    <w:p w14:paraId="3FDB901B" w14:textId="4E5E7A3D" w:rsidR="00DE43B0" w:rsidRPr="00DE43B0" w:rsidRDefault="00DE43B0" w:rsidP="008D6B46">
      <w:pPr>
        <w:spacing w:after="240"/>
        <w:ind w:left="-90" w:firstLine="90"/>
        <w:jc w:val="both"/>
        <w:rPr>
          <w:b/>
          <w:bCs/>
          <w:color w:val="000000"/>
          <w:sz w:val="28"/>
          <w:szCs w:val="28"/>
          <w:u w:val="single"/>
        </w:rPr>
      </w:pPr>
      <w:r w:rsidRPr="00DE43B0">
        <w:rPr>
          <w:b/>
          <w:bCs/>
          <w:color w:val="000000"/>
          <w:sz w:val="28"/>
          <w:szCs w:val="28"/>
        </w:rPr>
        <w:t>11.</w:t>
      </w:r>
      <w:r w:rsidR="007803BA">
        <w:rPr>
          <w:b/>
          <w:bCs/>
          <w:color w:val="000000"/>
          <w:sz w:val="28"/>
          <w:szCs w:val="28"/>
        </w:rPr>
        <w:t>2</w:t>
      </w:r>
      <w:r w:rsidRPr="007803BA">
        <w:rPr>
          <w:b/>
          <w:bCs/>
          <w:color w:val="000000"/>
          <w:sz w:val="28"/>
          <w:szCs w:val="28"/>
        </w:rPr>
        <w:t xml:space="preserve"> </w:t>
      </w:r>
      <w:r w:rsidRPr="00DE43B0">
        <w:rPr>
          <w:b/>
          <w:bCs/>
          <w:color w:val="000000"/>
          <w:sz w:val="28"/>
          <w:szCs w:val="28"/>
          <w:u w:val="single"/>
        </w:rPr>
        <w:t>Classification (Type</w:t>
      </w:r>
      <w:r>
        <w:rPr>
          <w:b/>
          <w:bCs/>
          <w:color w:val="000000"/>
          <w:sz w:val="28"/>
          <w:szCs w:val="28"/>
          <w:u w:val="single"/>
        </w:rPr>
        <w:t>s</w:t>
      </w:r>
      <w:r w:rsidRPr="00DE43B0">
        <w:rPr>
          <w:b/>
          <w:bCs/>
          <w:color w:val="000000"/>
          <w:sz w:val="28"/>
          <w:szCs w:val="28"/>
          <w:u w:val="single"/>
        </w:rPr>
        <w:t>) of Pharmacovigilance Indicators</w:t>
      </w:r>
      <w:r>
        <w:rPr>
          <w:b/>
          <w:bCs/>
          <w:color w:val="000000"/>
          <w:sz w:val="28"/>
          <w:szCs w:val="28"/>
          <w:u w:val="single"/>
        </w:rPr>
        <w:t>.</w:t>
      </w:r>
    </w:p>
    <w:p w14:paraId="03DC9736" w14:textId="77777777" w:rsidR="00DE43B0" w:rsidRPr="00DE43B0" w:rsidRDefault="00DE43B0" w:rsidP="008D6B46">
      <w:pPr>
        <w:pStyle w:val="Pa9"/>
        <w:spacing w:after="240"/>
        <w:jc w:val="both"/>
        <w:rPr>
          <w:rFonts w:ascii="Times New Roman" w:hAnsi="Times New Roman" w:cs="Times New Roman"/>
          <w:color w:val="221E1F"/>
        </w:rPr>
      </w:pPr>
      <w:r w:rsidRPr="00DE43B0">
        <w:rPr>
          <w:rFonts w:ascii="Times New Roman" w:hAnsi="Times New Roman" w:cs="Times New Roman"/>
          <w:color w:val="221E1F"/>
        </w:rPr>
        <w:t>The pharmacovigilance indicators are classified into the following three groups:</w:t>
      </w:r>
    </w:p>
    <w:p w14:paraId="40A1B108" w14:textId="0705FEC2" w:rsidR="00DE43B0" w:rsidRPr="008D6B46" w:rsidRDefault="008D6B46" w:rsidP="008D6B46">
      <w:pPr>
        <w:pStyle w:val="Pa15"/>
        <w:spacing w:after="240" w:line="360" w:lineRule="auto"/>
        <w:jc w:val="both"/>
        <w:rPr>
          <w:rFonts w:ascii="Times New Roman" w:hAnsi="Times New Roman" w:cs="Times New Roman"/>
          <w:color w:val="221E1F"/>
        </w:rPr>
      </w:pPr>
      <w:r w:rsidRPr="008D6B46">
        <w:rPr>
          <w:rFonts w:ascii="Times New Roman" w:hAnsi="Times New Roman" w:cs="Times New Roman"/>
          <w:i/>
          <w:iCs/>
          <w:color w:val="221E1F"/>
        </w:rPr>
        <w:t>11.</w:t>
      </w:r>
      <w:r w:rsidR="007803BA">
        <w:rPr>
          <w:rFonts w:ascii="Times New Roman" w:hAnsi="Times New Roman" w:cs="Times New Roman"/>
          <w:i/>
          <w:iCs/>
          <w:color w:val="221E1F"/>
        </w:rPr>
        <w:t>2</w:t>
      </w:r>
      <w:r w:rsidRPr="008D6B46">
        <w:rPr>
          <w:rFonts w:ascii="Times New Roman" w:hAnsi="Times New Roman" w:cs="Times New Roman"/>
          <w:i/>
          <w:iCs/>
          <w:color w:val="221E1F"/>
        </w:rPr>
        <w:t xml:space="preserve">.1 </w:t>
      </w:r>
      <w:r w:rsidR="00B703A3" w:rsidRPr="008D6B46">
        <w:rPr>
          <w:rFonts w:ascii="Times New Roman" w:hAnsi="Times New Roman" w:cs="Times New Roman"/>
          <w:i/>
          <w:iCs/>
          <w:color w:val="221E1F"/>
        </w:rPr>
        <w:t xml:space="preserve">Structural </w:t>
      </w:r>
      <w:r w:rsidR="00DE43B0" w:rsidRPr="008D6B46">
        <w:rPr>
          <w:rFonts w:ascii="Times New Roman" w:hAnsi="Times New Roman" w:cs="Times New Roman"/>
          <w:i/>
          <w:iCs/>
          <w:color w:val="221E1F"/>
        </w:rPr>
        <w:t>indicators</w:t>
      </w:r>
      <w:r w:rsidR="00F41345" w:rsidRPr="008D6B46">
        <w:rPr>
          <w:rFonts w:ascii="Times New Roman" w:hAnsi="Times New Roman" w:cs="Times New Roman"/>
          <w:i/>
          <w:iCs/>
          <w:color w:val="221E1F"/>
        </w:rPr>
        <w:t>:</w:t>
      </w:r>
      <w:r w:rsidR="00F41345" w:rsidRPr="008D6B46">
        <w:rPr>
          <w:rFonts w:ascii="Times New Roman" w:hAnsi="Times New Roman" w:cs="Times New Roman"/>
          <w:color w:val="221E1F"/>
        </w:rPr>
        <w:t xml:space="preserve"> The structural indicators assess the existence of key pharmacovigilance struc</w:t>
      </w:r>
      <w:r w:rsidR="00F41345" w:rsidRPr="008D6B46">
        <w:rPr>
          <w:rFonts w:ascii="Times New Roman" w:hAnsi="Times New Roman" w:cs="Times New Roman"/>
          <w:color w:val="221E1F"/>
        </w:rPr>
        <w:softHyphen/>
        <w:t xml:space="preserve">tures, systems and mechanisms in the setting being studied. The availability </w:t>
      </w:r>
      <w:r w:rsidR="00F41345" w:rsidRPr="008D6B46">
        <w:rPr>
          <w:rStyle w:val="A2"/>
          <w:rFonts w:ascii="Times New Roman" w:hAnsi="Times New Roman" w:cs="Times New Roman"/>
          <w:sz w:val="24"/>
          <w:szCs w:val="24"/>
        </w:rPr>
        <w:t>of basic infrastructure is required to enable pharmacovigilance operations. These indicators assess the elements that give visibility to pharmacovigilance. They also assess the existence of a policy and regulatory framework which enables pharmacovigilance to operate. These indicators are essentially quali</w:t>
      </w:r>
      <w:r w:rsidR="00F41345" w:rsidRPr="008D6B46">
        <w:rPr>
          <w:rStyle w:val="A2"/>
          <w:rFonts w:ascii="Times New Roman" w:hAnsi="Times New Roman" w:cs="Times New Roman"/>
          <w:sz w:val="24"/>
          <w:szCs w:val="24"/>
        </w:rPr>
        <w:softHyphen/>
        <w:t>tative.</w:t>
      </w:r>
    </w:p>
    <w:p w14:paraId="16116583" w14:textId="1EBF6259" w:rsidR="00DE43B0" w:rsidRPr="008D6B46" w:rsidRDefault="008D6B46" w:rsidP="008D6B46">
      <w:pPr>
        <w:pStyle w:val="Pa15"/>
        <w:spacing w:after="240" w:line="360" w:lineRule="auto"/>
        <w:jc w:val="both"/>
        <w:rPr>
          <w:rFonts w:ascii="Times New Roman" w:hAnsi="Times New Roman" w:cs="Times New Roman"/>
          <w:color w:val="221E1F"/>
        </w:rPr>
      </w:pPr>
      <w:r w:rsidRPr="008D6B46">
        <w:rPr>
          <w:rFonts w:ascii="Times New Roman" w:hAnsi="Times New Roman" w:cs="Times New Roman"/>
          <w:i/>
          <w:iCs/>
          <w:color w:val="221E1F"/>
        </w:rPr>
        <w:lastRenderedPageBreak/>
        <w:t>11.</w:t>
      </w:r>
      <w:r w:rsidR="007803BA">
        <w:rPr>
          <w:rFonts w:ascii="Times New Roman" w:hAnsi="Times New Roman" w:cs="Times New Roman"/>
          <w:i/>
          <w:iCs/>
          <w:color w:val="221E1F"/>
        </w:rPr>
        <w:t>2</w:t>
      </w:r>
      <w:r w:rsidRPr="008D6B46">
        <w:rPr>
          <w:rFonts w:ascii="Times New Roman" w:hAnsi="Times New Roman" w:cs="Times New Roman"/>
          <w:i/>
          <w:iCs/>
          <w:color w:val="221E1F"/>
        </w:rPr>
        <w:t xml:space="preserve">.2 </w:t>
      </w:r>
      <w:r w:rsidR="00B703A3" w:rsidRPr="008D6B46">
        <w:rPr>
          <w:rFonts w:ascii="Times New Roman" w:hAnsi="Times New Roman" w:cs="Times New Roman"/>
          <w:i/>
          <w:iCs/>
          <w:color w:val="221E1F"/>
        </w:rPr>
        <w:t xml:space="preserve">Process </w:t>
      </w:r>
      <w:r w:rsidR="00DE43B0" w:rsidRPr="008D6B46">
        <w:rPr>
          <w:rFonts w:ascii="Times New Roman" w:hAnsi="Times New Roman" w:cs="Times New Roman"/>
          <w:i/>
          <w:iCs/>
          <w:color w:val="221E1F"/>
        </w:rPr>
        <w:t>indicators</w:t>
      </w:r>
      <w:r w:rsidR="00F41345" w:rsidRPr="008D6B46">
        <w:rPr>
          <w:rFonts w:ascii="Times New Roman" w:hAnsi="Times New Roman" w:cs="Times New Roman"/>
          <w:color w:val="221E1F"/>
        </w:rPr>
        <w:t>:</w:t>
      </w:r>
      <w:r w:rsidRPr="008D6B46">
        <w:rPr>
          <w:rFonts w:ascii="Times New Roman" w:hAnsi="Times New Roman" w:cs="Times New Roman"/>
          <w:color w:val="221E1F"/>
        </w:rPr>
        <w:t xml:space="preserve"> These</w:t>
      </w:r>
      <w:r w:rsidR="00F41345" w:rsidRPr="008D6B46">
        <w:rPr>
          <w:rFonts w:ascii="Times New Roman" w:hAnsi="Times New Roman" w:cs="Times New Roman"/>
          <w:color w:val="221E1F"/>
        </w:rPr>
        <w:t xml:space="preserve"> </w:t>
      </w:r>
      <w:r w:rsidRPr="008D6B46">
        <w:rPr>
          <w:rFonts w:ascii="Times New Roman" w:hAnsi="Times New Roman" w:cs="Times New Roman"/>
          <w:color w:val="221E1F"/>
        </w:rPr>
        <w:t>indicators assess the extent of pharmacovigilance activities. They focus on the constellation of activities which describe the mechanism of pharmacovigilance – the collection, collation, analysis and evaluation of ADR reports. They also consider other activities which influence those listed above. These are measures that assess directly or indirectly the extent to which the system is operating.</w:t>
      </w:r>
    </w:p>
    <w:p w14:paraId="5F3554FB" w14:textId="1FBB71D7" w:rsidR="00DE43B0" w:rsidRPr="008D6B46" w:rsidRDefault="008D6B46" w:rsidP="008D6B46">
      <w:pPr>
        <w:spacing w:after="240" w:line="360" w:lineRule="auto"/>
        <w:jc w:val="both"/>
        <w:rPr>
          <w:color w:val="221E1F"/>
          <w:sz w:val="24"/>
          <w:szCs w:val="24"/>
        </w:rPr>
      </w:pPr>
      <w:r w:rsidRPr="008D6B46">
        <w:rPr>
          <w:i/>
          <w:iCs/>
          <w:color w:val="221E1F"/>
          <w:sz w:val="24"/>
          <w:szCs w:val="24"/>
        </w:rPr>
        <w:t>11.</w:t>
      </w:r>
      <w:r w:rsidR="007803BA">
        <w:rPr>
          <w:i/>
          <w:iCs/>
          <w:color w:val="221E1F"/>
          <w:sz w:val="24"/>
          <w:szCs w:val="24"/>
        </w:rPr>
        <w:t>2</w:t>
      </w:r>
      <w:r w:rsidRPr="008D6B46">
        <w:rPr>
          <w:i/>
          <w:iCs/>
          <w:color w:val="221E1F"/>
          <w:sz w:val="24"/>
          <w:szCs w:val="24"/>
        </w:rPr>
        <w:t xml:space="preserve">.3 </w:t>
      </w:r>
      <w:r w:rsidR="00B703A3" w:rsidRPr="008D6B46">
        <w:rPr>
          <w:i/>
          <w:iCs/>
          <w:color w:val="221E1F"/>
          <w:sz w:val="24"/>
          <w:szCs w:val="24"/>
        </w:rPr>
        <w:t xml:space="preserve">Outcome </w:t>
      </w:r>
      <w:r w:rsidR="00DE43B0" w:rsidRPr="008D6B46">
        <w:rPr>
          <w:i/>
          <w:iCs/>
          <w:color w:val="221E1F"/>
          <w:sz w:val="24"/>
          <w:szCs w:val="24"/>
        </w:rPr>
        <w:t>or impact indicators</w:t>
      </w:r>
      <w:r w:rsidRPr="008D6B46">
        <w:rPr>
          <w:i/>
          <w:iCs/>
          <w:color w:val="221E1F"/>
          <w:sz w:val="24"/>
          <w:szCs w:val="24"/>
        </w:rPr>
        <w:t>:</w:t>
      </w:r>
      <w:r w:rsidRPr="008D6B46">
        <w:rPr>
          <w:color w:val="221E1F"/>
          <w:sz w:val="24"/>
          <w:szCs w:val="24"/>
        </w:rPr>
        <w:t xml:space="preserve"> These</w:t>
      </w:r>
      <w:r>
        <w:rPr>
          <w:color w:val="221E1F"/>
          <w:sz w:val="24"/>
          <w:szCs w:val="24"/>
        </w:rPr>
        <w:t xml:space="preserve"> indicators</w:t>
      </w:r>
      <w:r w:rsidRPr="008D6B46">
        <w:rPr>
          <w:color w:val="221E1F"/>
          <w:sz w:val="24"/>
          <w:szCs w:val="24"/>
        </w:rPr>
        <w:t xml:space="preserve"> measure the effects (results and changes) of pharmacovigilance activities. They measure the extent of realization of the pharmacovigilance objectives which, in essence, constitute ensuring patient safety.</w:t>
      </w:r>
    </w:p>
    <w:p w14:paraId="44D4BB90" w14:textId="750B0D1C" w:rsidR="009613B8" w:rsidRDefault="00D72D35" w:rsidP="00D445E0">
      <w:pPr>
        <w:spacing w:after="120"/>
        <w:jc w:val="both"/>
        <w:rPr>
          <w:rFonts w:cs="Helvetica CondensedBlack"/>
          <w:b/>
          <w:bCs/>
          <w:color w:val="221E1F"/>
          <w:sz w:val="28"/>
          <w:szCs w:val="28"/>
          <w:u w:val="single"/>
        </w:rPr>
      </w:pPr>
      <w:r>
        <w:rPr>
          <w:rFonts w:cs="Helvetica CondensedBlack"/>
          <w:b/>
          <w:bCs/>
          <w:color w:val="000000"/>
          <w:sz w:val="28"/>
          <w:szCs w:val="28"/>
        </w:rPr>
        <w:t>11.</w:t>
      </w:r>
      <w:r w:rsidR="007803BA">
        <w:rPr>
          <w:rFonts w:cs="Helvetica CondensedBlack"/>
          <w:b/>
          <w:bCs/>
          <w:color w:val="000000"/>
          <w:sz w:val="28"/>
          <w:szCs w:val="28"/>
        </w:rPr>
        <w:t>3</w:t>
      </w:r>
      <w:r>
        <w:rPr>
          <w:rFonts w:cs="Helvetica CondensedBlack"/>
          <w:b/>
          <w:bCs/>
          <w:color w:val="000000"/>
          <w:sz w:val="28"/>
          <w:szCs w:val="28"/>
        </w:rPr>
        <w:t xml:space="preserve"> </w:t>
      </w:r>
      <w:r w:rsidRPr="00D72D35">
        <w:rPr>
          <w:rFonts w:cs="Helvetica CondensedBlack"/>
          <w:b/>
          <w:bCs/>
          <w:color w:val="000000"/>
          <w:sz w:val="28"/>
          <w:szCs w:val="28"/>
          <w:u w:val="single"/>
        </w:rPr>
        <w:t xml:space="preserve">Categories of Pharmacovigilance </w:t>
      </w:r>
      <w:r w:rsidRPr="00D72D35">
        <w:rPr>
          <w:rFonts w:cs="Helvetica CondensedBlack"/>
          <w:b/>
          <w:bCs/>
          <w:color w:val="221E1F"/>
          <w:sz w:val="28"/>
          <w:szCs w:val="28"/>
          <w:u w:val="single"/>
        </w:rPr>
        <w:t>Indicators</w:t>
      </w:r>
    </w:p>
    <w:p w14:paraId="05C392D7" w14:textId="3C8010E8" w:rsidR="00856352" w:rsidRPr="00D445E0" w:rsidRDefault="00D445E0" w:rsidP="00D445E0">
      <w:pPr>
        <w:spacing w:after="120" w:line="360" w:lineRule="auto"/>
        <w:jc w:val="both"/>
        <w:rPr>
          <w:rFonts w:cs="Plantin Light"/>
          <w:color w:val="221E1F"/>
          <w:sz w:val="24"/>
          <w:szCs w:val="24"/>
        </w:rPr>
      </w:pPr>
      <w:r>
        <w:rPr>
          <w:rFonts w:cs="Plantin Light"/>
          <w:i/>
          <w:iCs/>
          <w:color w:val="000000"/>
          <w:sz w:val="24"/>
          <w:szCs w:val="24"/>
        </w:rPr>
        <w:t>11.</w:t>
      </w:r>
      <w:r w:rsidR="007803BA">
        <w:rPr>
          <w:rFonts w:cs="Plantin Light"/>
          <w:i/>
          <w:iCs/>
          <w:color w:val="000000"/>
          <w:sz w:val="24"/>
          <w:szCs w:val="24"/>
        </w:rPr>
        <w:t>3</w:t>
      </w:r>
      <w:r>
        <w:rPr>
          <w:rFonts w:cs="Plantin Light"/>
          <w:i/>
          <w:iCs/>
          <w:color w:val="000000"/>
          <w:sz w:val="24"/>
          <w:szCs w:val="24"/>
        </w:rPr>
        <w:t xml:space="preserve">.1 </w:t>
      </w:r>
      <w:r w:rsidR="00856352" w:rsidRPr="00D445E0">
        <w:rPr>
          <w:rFonts w:cs="Plantin Light"/>
          <w:i/>
          <w:iCs/>
          <w:color w:val="000000"/>
          <w:sz w:val="24"/>
          <w:szCs w:val="24"/>
        </w:rPr>
        <w:t>Core indicators (C)</w:t>
      </w:r>
      <w:r w:rsidR="00856352" w:rsidRPr="00D445E0">
        <w:rPr>
          <w:rFonts w:cs="Plantin Light"/>
          <w:color w:val="000000"/>
          <w:sz w:val="24"/>
          <w:szCs w:val="24"/>
        </w:rPr>
        <w:t xml:space="preserve"> are those considered to be highly relevant, important </w:t>
      </w:r>
      <w:r w:rsidR="00856352" w:rsidRPr="00D445E0">
        <w:rPr>
          <w:rFonts w:cs="Plantin Light"/>
          <w:color w:val="221E1F"/>
          <w:sz w:val="24"/>
          <w:szCs w:val="24"/>
        </w:rPr>
        <w:t>and useful in characterizing pharmacovigilance.</w:t>
      </w:r>
      <w:r w:rsidRPr="00D445E0">
        <w:rPr>
          <w:rFonts w:cs="Plantin Light"/>
          <w:color w:val="221E1F"/>
          <w:sz w:val="24"/>
          <w:szCs w:val="24"/>
        </w:rPr>
        <w:t xml:space="preserve"> There are 27 core pharmacovigilance indicators: 10 structural, 9 proces</w:t>
      </w:r>
      <w:r>
        <w:rPr>
          <w:rFonts w:cs="Plantin Light"/>
          <w:color w:val="221E1F"/>
          <w:sz w:val="24"/>
          <w:szCs w:val="24"/>
        </w:rPr>
        <w:t>se</w:t>
      </w:r>
      <w:r w:rsidRPr="00D445E0">
        <w:rPr>
          <w:rFonts w:cs="Plantin Light"/>
          <w:color w:val="221E1F"/>
          <w:sz w:val="24"/>
          <w:szCs w:val="24"/>
        </w:rPr>
        <w:t>s and 8 outcome or impact indicators.</w:t>
      </w:r>
    </w:p>
    <w:p w14:paraId="218FA8DD" w14:textId="3898C666" w:rsidR="00D445E0" w:rsidRPr="00D445E0" w:rsidRDefault="00D445E0" w:rsidP="00D445E0">
      <w:pPr>
        <w:spacing w:after="120" w:line="360" w:lineRule="auto"/>
        <w:jc w:val="both"/>
        <w:rPr>
          <w:rFonts w:cs="Plantin Light"/>
          <w:color w:val="221E1F"/>
          <w:sz w:val="24"/>
          <w:szCs w:val="24"/>
        </w:rPr>
      </w:pPr>
      <w:r>
        <w:rPr>
          <w:rFonts w:cs="Plantin Light"/>
          <w:i/>
          <w:iCs/>
          <w:color w:val="000000"/>
          <w:sz w:val="24"/>
          <w:szCs w:val="24"/>
        </w:rPr>
        <w:t>11.</w:t>
      </w:r>
      <w:r w:rsidR="007803BA">
        <w:rPr>
          <w:rFonts w:cs="Plantin Light"/>
          <w:i/>
          <w:iCs/>
          <w:color w:val="000000"/>
          <w:sz w:val="24"/>
          <w:szCs w:val="24"/>
        </w:rPr>
        <w:t>3</w:t>
      </w:r>
      <w:r>
        <w:rPr>
          <w:rFonts w:cs="Plantin Light"/>
          <w:i/>
          <w:iCs/>
          <w:color w:val="000000"/>
          <w:sz w:val="24"/>
          <w:szCs w:val="24"/>
        </w:rPr>
        <w:t xml:space="preserve">.2 </w:t>
      </w:r>
      <w:r w:rsidR="00856352" w:rsidRPr="00D445E0">
        <w:rPr>
          <w:rFonts w:cs="Plantin Light"/>
          <w:i/>
          <w:iCs/>
          <w:color w:val="000000"/>
          <w:sz w:val="24"/>
          <w:szCs w:val="24"/>
        </w:rPr>
        <w:t>Complementary indicators (T)</w:t>
      </w:r>
      <w:r w:rsidR="00856352" w:rsidRPr="00D445E0">
        <w:rPr>
          <w:rFonts w:cs="Plantin Light"/>
          <w:color w:val="000000"/>
          <w:sz w:val="24"/>
          <w:szCs w:val="24"/>
        </w:rPr>
        <w:t xml:space="preserve"> are those additional measurements con</w:t>
      </w:r>
      <w:r w:rsidR="00856352" w:rsidRPr="00D445E0">
        <w:rPr>
          <w:rFonts w:cs="Plantin Light"/>
          <w:color w:val="221E1F"/>
          <w:sz w:val="24"/>
          <w:szCs w:val="24"/>
        </w:rPr>
        <w:softHyphen/>
        <w:t>sidered to be relevant and useful. They serve to further characterize the pharmacovigilance situation in the stated setting but need not be used in all instances.</w:t>
      </w:r>
      <w:r w:rsidRPr="00D445E0">
        <w:rPr>
          <w:rFonts w:cs="Plantin Light"/>
          <w:color w:val="221E1F"/>
          <w:sz w:val="24"/>
          <w:szCs w:val="24"/>
        </w:rPr>
        <w:t xml:space="preserve"> There are 36 complementary indicators: 11 structural, 13 proces</w:t>
      </w:r>
      <w:r>
        <w:rPr>
          <w:rFonts w:cs="Plantin Light"/>
          <w:color w:val="221E1F"/>
          <w:sz w:val="24"/>
          <w:szCs w:val="24"/>
        </w:rPr>
        <w:t>se</w:t>
      </w:r>
      <w:r w:rsidRPr="00D445E0">
        <w:rPr>
          <w:rFonts w:cs="Plantin Light"/>
          <w:color w:val="221E1F"/>
          <w:sz w:val="24"/>
          <w:szCs w:val="24"/>
        </w:rPr>
        <w:t>s and 12 out</w:t>
      </w:r>
      <w:r w:rsidRPr="00D445E0">
        <w:rPr>
          <w:rFonts w:cs="Plantin Light"/>
          <w:color w:val="221E1F"/>
          <w:sz w:val="24"/>
          <w:szCs w:val="24"/>
        </w:rPr>
        <w:softHyphen/>
        <w:t>come or impact</w:t>
      </w:r>
      <w:r w:rsidR="00546F7F">
        <w:rPr>
          <w:rFonts w:cs="Plantin Light"/>
          <w:color w:val="221E1F"/>
          <w:sz w:val="24"/>
          <w:szCs w:val="24"/>
        </w:rPr>
        <w:t>.</w:t>
      </w:r>
      <w:r w:rsidRPr="00D445E0">
        <w:rPr>
          <w:rFonts w:cs="Plantin Light"/>
          <w:color w:val="221E1F"/>
          <w:sz w:val="24"/>
          <w:szCs w:val="24"/>
        </w:rPr>
        <w:t xml:space="preserve"> </w:t>
      </w:r>
    </w:p>
    <w:p w14:paraId="748F1EF6" w14:textId="45E5199A" w:rsidR="007C3678" w:rsidRPr="00F239F4" w:rsidRDefault="00D445E0" w:rsidP="00F239F4">
      <w:pPr>
        <w:spacing w:after="120" w:line="360" w:lineRule="auto"/>
        <w:jc w:val="both"/>
        <w:rPr>
          <w:rFonts w:cs="Plantin Light"/>
          <w:color w:val="221E1F"/>
          <w:sz w:val="24"/>
          <w:szCs w:val="24"/>
        </w:rPr>
      </w:pPr>
      <w:r>
        <w:rPr>
          <w:rFonts w:cs="Plantin Light"/>
          <w:i/>
          <w:iCs/>
          <w:color w:val="221E1F"/>
          <w:sz w:val="24"/>
          <w:szCs w:val="24"/>
        </w:rPr>
        <w:t>11.</w:t>
      </w:r>
      <w:r w:rsidR="007803BA">
        <w:rPr>
          <w:rFonts w:cs="Plantin Light"/>
          <w:i/>
          <w:iCs/>
          <w:color w:val="221E1F"/>
          <w:sz w:val="24"/>
          <w:szCs w:val="24"/>
        </w:rPr>
        <w:t>3</w:t>
      </w:r>
      <w:r>
        <w:rPr>
          <w:rFonts w:cs="Plantin Light"/>
          <w:i/>
          <w:iCs/>
          <w:color w:val="221E1F"/>
          <w:sz w:val="24"/>
          <w:szCs w:val="24"/>
        </w:rPr>
        <w:t>.3</w:t>
      </w:r>
      <w:r w:rsidR="004B6E61">
        <w:rPr>
          <w:rFonts w:cs="Plantin Light"/>
          <w:i/>
          <w:iCs/>
          <w:color w:val="221E1F"/>
          <w:sz w:val="24"/>
          <w:szCs w:val="24"/>
        </w:rPr>
        <w:t xml:space="preserve"> </w:t>
      </w:r>
      <w:r w:rsidRPr="00D445E0">
        <w:rPr>
          <w:rFonts w:cs="Plantin Light"/>
          <w:i/>
          <w:iCs/>
          <w:color w:val="221E1F"/>
          <w:sz w:val="24"/>
          <w:szCs w:val="24"/>
        </w:rPr>
        <w:t>Pharmacovigilance indicators for public health programmes</w:t>
      </w:r>
      <w:r w:rsidRPr="00D445E0">
        <w:rPr>
          <w:rFonts w:cs="Plantin Light"/>
          <w:color w:val="221E1F"/>
          <w:sz w:val="24"/>
          <w:szCs w:val="24"/>
        </w:rPr>
        <w:t>: There are nine pharmacovigilance indicators for public health programmes.</w:t>
      </w:r>
      <w:r w:rsidR="004B6E61">
        <w:rPr>
          <w:rFonts w:cs="Plantin Light"/>
          <w:color w:val="221E1F"/>
          <w:sz w:val="24"/>
          <w:szCs w:val="24"/>
        </w:rPr>
        <w:t xml:space="preserve"> Further detail is available </w:t>
      </w:r>
      <w:r w:rsidR="00546F7F">
        <w:rPr>
          <w:rFonts w:cs="Plantin Light"/>
          <w:color w:val="221E1F"/>
          <w:sz w:val="24"/>
          <w:szCs w:val="24"/>
        </w:rPr>
        <w:t>in</w:t>
      </w:r>
      <w:r w:rsidR="004B6E61">
        <w:rPr>
          <w:rFonts w:cs="Plantin Light"/>
          <w:color w:val="221E1F"/>
          <w:sz w:val="24"/>
          <w:szCs w:val="24"/>
        </w:rPr>
        <w:t xml:space="preserve"> DRAP’s </w:t>
      </w:r>
      <w:hyperlink r:id="rId101" w:history="1">
        <w:r w:rsidR="004B6E61" w:rsidRPr="004B6E61">
          <w:rPr>
            <w:rStyle w:val="Hyperlink"/>
            <w:rFonts w:cs="Plantin Light"/>
            <w:sz w:val="24"/>
            <w:szCs w:val="24"/>
          </w:rPr>
          <w:t>guidelines on pharmacovigilance for public health programmes</w:t>
        </w:r>
      </w:hyperlink>
      <w:r w:rsidR="004B6E61">
        <w:rPr>
          <w:rFonts w:cs="Plantin Light"/>
          <w:color w:val="221E1F"/>
          <w:sz w:val="24"/>
          <w:szCs w:val="24"/>
        </w:rPr>
        <w:t xml:space="preserve"> from the official website.</w:t>
      </w:r>
    </w:p>
    <w:p w14:paraId="5294B198" w14:textId="0945A376" w:rsidR="007C3678" w:rsidRDefault="006625BA" w:rsidP="00D445E0">
      <w:pPr>
        <w:spacing w:after="120" w:line="360" w:lineRule="auto"/>
        <w:jc w:val="both"/>
        <w:rPr>
          <w:b/>
          <w:bCs/>
          <w:color w:val="000000"/>
          <w:sz w:val="28"/>
          <w:szCs w:val="28"/>
          <w:u w:val="single"/>
        </w:rPr>
      </w:pPr>
      <w:r w:rsidRPr="005109B4">
        <w:rPr>
          <w:b/>
          <w:bCs/>
          <w:color w:val="000000"/>
          <w:sz w:val="28"/>
          <w:szCs w:val="28"/>
        </w:rPr>
        <w:t>11</w:t>
      </w:r>
      <w:r w:rsidR="005109B4" w:rsidRPr="005109B4">
        <w:rPr>
          <w:b/>
          <w:bCs/>
          <w:color w:val="000000"/>
          <w:sz w:val="28"/>
          <w:szCs w:val="28"/>
        </w:rPr>
        <w:t>.</w:t>
      </w:r>
      <w:r w:rsidR="003F5002">
        <w:rPr>
          <w:b/>
          <w:bCs/>
          <w:color w:val="000000"/>
          <w:sz w:val="28"/>
          <w:szCs w:val="28"/>
        </w:rPr>
        <w:t>4</w:t>
      </w:r>
      <w:r w:rsidRPr="005109B4">
        <w:rPr>
          <w:b/>
          <w:bCs/>
          <w:color w:val="000000"/>
          <w:sz w:val="28"/>
          <w:szCs w:val="28"/>
        </w:rPr>
        <w:t>.</w:t>
      </w:r>
      <w:r w:rsidRPr="003F5002">
        <w:rPr>
          <w:b/>
          <w:bCs/>
          <w:color w:val="000000"/>
          <w:sz w:val="28"/>
          <w:szCs w:val="28"/>
        </w:rPr>
        <w:t xml:space="preserve"> </w:t>
      </w:r>
      <w:r w:rsidR="007C3678" w:rsidRPr="007C3678">
        <w:rPr>
          <w:b/>
          <w:bCs/>
          <w:color w:val="000000"/>
          <w:sz w:val="28"/>
          <w:szCs w:val="28"/>
          <w:u w:val="single"/>
        </w:rPr>
        <w:t>Core pharmacovigilance indicators</w:t>
      </w:r>
    </w:p>
    <w:p w14:paraId="4AA590D1" w14:textId="46FB47E6" w:rsidR="007C3678" w:rsidRPr="006625BA" w:rsidRDefault="006625BA" w:rsidP="006625BA">
      <w:pPr>
        <w:pStyle w:val="Pa21"/>
        <w:spacing w:before="100" w:after="40"/>
        <w:ind w:left="560" w:hanging="560"/>
        <w:rPr>
          <w:rFonts w:ascii="Times New Roman" w:hAnsi="Times New Roman" w:cs="Times New Roman"/>
          <w:i/>
          <w:iCs/>
          <w:color w:val="000000"/>
        </w:rPr>
      </w:pPr>
      <w:r w:rsidRPr="006625BA">
        <w:rPr>
          <w:rFonts w:ascii="Times New Roman" w:hAnsi="Times New Roman" w:cs="Times New Roman"/>
          <w:i/>
          <w:iCs/>
          <w:color w:val="000000"/>
        </w:rPr>
        <w:t>11.</w:t>
      </w:r>
      <w:r w:rsidR="003F5002">
        <w:rPr>
          <w:rFonts w:ascii="Times New Roman" w:hAnsi="Times New Roman" w:cs="Times New Roman"/>
          <w:i/>
          <w:iCs/>
          <w:color w:val="000000"/>
        </w:rPr>
        <w:t>4</w:t>
      </w:r>
      <w:r w:rsidRPr="006625BA">
        <w:rPr>
          <w:rFonts w:ascii="Times New Roman" w:hAnsi="Times New Roman" w:cs="Times New Roman"/>
          <w:i/>
          <w:iCs/>
          <w:color w:val="000000"/>
        </w:rPr>
        <w:t>.1 Core structural indicators</w:t>
      </w:r>
      <w:r w:rsidR="000E5744">
        <w:rPr>
          <w:rFonts w:ascii="Times New Roman" w:hAnsi="Times New Roman" w:cs="Times New Roman"/>
          <w:i/>
          <w:iCs/>
          <w:color w:val="000000"/>
        </w:rPr>
        <w:t>.</w:t>
      </w:r>
    </w:p>
    <w:tbl>
      <w:tblPr>
        <w:tblStyle w:val="TableGrid"/>
        <w:tblW w:w="0" w:type="auto"/>
        <w:tblLook w:val="04A0" w:firstRow="1" w:lastRow="0" w:firstColumn="1" w:lastColumn="0" w:noHBand="0" w:noVBand="1"/>
      </w:tblPr>
      <w:tblGrid>
        <w:gridCol w:w="9350"/>
      </w:tblGrid>
      <w:tr w:rsidR="006625BA" w14:paraId="7AAFA03E" w14:textId="77777777" w:rsidTr="005827A8">
        <w:trPr>
          <w:trHeight w:val="1342"/>
        </w:trPr>
        <w:tc>
          <w:tcPr>
            <w:tcW w:w="9350" w:type="dxa"/>
            <w:shd w:val="clear" w:color="auto" w:fill="D9E2F3" w:themeFill="accent1" w:themeFillTint="33"/>
          </w:tcPr>
          <w:p w14:paraId="3A59FC41" w14:textId="292F172A" w:rsidR="006625BA" w:rsidRPr="006625BA" w:rsidRDefault="006625BA" w:rsidP="00B73943">
            <w:pPr>
              <w:pStyle w:val="Pa22"/>
              <w:spacing w:after="120"/>
              <w:ind w:left="778" w:right="216" w:hanging="562"/>
              <w:jc w:val="both"/>
              <w:rPr>
                <w:rFonts w:ascii="Times New Roman" w:hAnsi="Times New Roman" w:cs="Times New Roman"/>
                <w:color w:val="221E1F"/>
                <w:sz w:val="20"/>
                <w:szCs w:val="20"/>
              </w:rPr>
            </w:pPr>
            <w:r w:rsidRPr="006625BA">
              <w:rPr>
                <w:rFonts w:ascii="Times New Roman" w:hAnsi="Times New Roman" w:cs="Times New Roman"/>
                <w:color w:val="221E1F"/>
                <w:sz w:val="20"/>
                <w:szCs w:val="20"/>
              </w:rPr>
              <w:t>The 10 core structural indicators (CSTs) are as follows:</w:t>
            </w:r>
          </w:p>
          <w:p w14:paraId="4432D825" w14:textId="7784BD2A" w:rsidR="006625BA" w:rsidRPr="006625BA" w:rsidRDefault="006625BA" w:rsidP="00B73943">
            <w:pPr>
              <w:pStyle w:val="Pa22"/>
              <w:spacing w:before="220"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CST1</w:t>
            </w:r>
            <w:r w:rsidRPr="006625BA">
              <w:rPr>
                <w:rFonts w:ascii="Times New Roman" w:hAnsi="Times New Roman" w:cs="Times New Roman"/>
                <w:color w:val="221E1F"/>
                <w:sz w:val="20"/>
                <w:szCs w:val="20"/>
              </w:rPr>
              <w:t xml:space="preserve">. Existence of a pharmacovigilance </w:t>
            </w:r>
            <w:proofErr w:type="spellStart"/>
            <w:r w:rsidRPr="006625BA">
              <w:rPr>
                <w:rFonts w:ascii="Times New Roman" w:hAnsi="Times New Roman" w:cs="Times New Roman"/>
                <w:color w:val="221E1F"/>
                <w:sz w:val="20"/>
                <w:szCs w:val="20"/>
              </w:rPr>
              <w:t>centre</w:t>
            </w:r>
            <w:proofErr w:type="spellEnd"/>
            <w:r w:rsidRPr="006625BA">
              <w:rPr>
                <w:rFonts w:ascii="Times New Roman" w:hAnsi="Times New Roman" w:cs="Times New Roman"/>
                <w:color w:val="221E1F"/>
                <w:sz w:val="20"/>
                <w:szCs w:val="20"/>
              </w:rPr>
              <w:t>, department or unit with a standard accommodation</w:t>
            </w:r>
          </w:p>
          <w:p w14:paraId="6D9ADCFA"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CST2.</w:t>
            </w:r>
            <w:r w:rsidRPr="006625BA">
              <w:rPr>
                <w:rFonts w:ascii="Times New Roman" w:hAnsi="Times New Roman" w:cs="Times New Roman"/>
                <w:color w:val="221E1F"/>
                <w:sz w:val="20"/>
                <w:szCs w:val="20"/>
              </w:rPr>
              <w:t xml:space="preserve"> Existence of a statutory provision (national policy, legislation) for pharmacovigilance</w:t>
            </w:r>
          </w:p>
          <w:p w14:paraId="691C6558"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CST3</w:t>
            </w:r>
            <w:r w:rsidRPr="006625BA">
              <w:rPr>
                <w:rFonts w:ascii="Times New Roman" w:hAnsi="Times New Roman" w:cs="Times New Roman"/>
                <w:color w:val="221E1F"/>
                <w:sz w:val="20"/>
                <w:szCs w:val="20"/>
              </w:rPr>
              <w:t xml:space="preserve">. Existence of a </w:t>
            </w:r>
            <w:proofErr w:type="gramStart"/>
            <w:r w:rsidRPr="006625BA">
              <w:rPr>
                <w:rFonts w:ascii="Times New Roman" w:hAnsi="Times New Roman" w:cs="Times New Roman"/>
                <w:color w:val="221E1F"/>
                <w:sz w:val="20"/>
                <w:szCs w:val="20"/>
              </w:rPr>
              <w:t>medicines</w:t>
            </w:r>
            <w:proofErr w:type="gramEnd"/>
            <w:r w:rsidRPr="006625BA">
              <w:rPr>
                <w:rFonts w:ascii="Times New Roman" w:hAnsi="Times New Roman" w:cs="Times New Roman"/>
                <w:color w:val="221E1F"/>
                <w:sz w:val="20"/>
                <w:szCs w:val="20"/>
              </w:rPr>
              <w:t xml:space="preserve"> regulatory authority or agency</w:t>
            </w:r>
          </w:p>
          <w:p w14:paraId="0168CAFF"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CST4.</w:t>
            </w:r>
            <w:r w:rsidRPr="006625BA">
              <w:rPr>
                <w:rFonts w:ascii="Times New Roman" w:hAnsi="Times New Roman" w:cs="Times New Roman"/>
                <w:color w:val="221E1F"/>
                <w:sz w:val="20"/>
                <w:szCs w:val="20"/>
              </w:rPr>
              <w:t xml:space="preserve"> Existence of any regular financial provision (e.g. statutory budget) for the pharmacovigilance </w:t>
            </w:r>
            <w:proofErr w:type="spellStart"/>
            <w:r w:rsidRPr="006625BA">
              <w:rPr>
                <w:rFonts w:ascii="Times New Roman" w:hAnsi="Times New Roman" w:cs="Times New Roman"/>
                <w:color w:val="221E1F"/>
                <w:sz w:val="20"/>
                <w:szCs w:val="20"/>
              </w:rPr>
              <w:t>centre</w:t>
            </w:r>
            <w:proofErr w:type="spellEnd"/>
          </w:p>
          <w:p w14:paraId="2C404CF0"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CST5</w:t>
            </w:r>
            <w:r w:rsidRPr="006625BA">
              <w:rPr>
                <w:rFonts w:ascii="Times New Roman" w:hAnsi="Times New Roman" w:cs="Times New Roman"/>
                <w:color w:val="221E1F"/>
                <w:sz w:val="20"/>
                <w:szCs w:val="20"/>
              </w:rPr>
              <w:t xml:space="preserve">. The pharmacovigilance </w:t>
            </w:r>
            <w:proofErr w:type="spellStart"/>
            <w:r w:rsidRPr="006625BA">
              <w:rPr>
                <w:rFonts w:ascii="Times New Roman" w:hAnsi="Times New Roman" w:cs="Times New Roman"/>
                <w:color w:val="221E1F"/>
                <w:sz w:val="20"/>
                <w:szCs w:val="20"/>
              </w:rPr>
              <w:t>centre</w:t>
            </w:r>
            <w:proofErr w:type="spellEnd"/>
            <w:r w:rsidRPr="006625BA">
              <w:rPr>
                <w:rFonts w:ascii="Times New Roman" w:hAnsi="Times New Roman" w:cs="Times New Roman"/>
                <w:color w:val="221E1F"/>
                <w:sz w:val="20"/>
                <w:szCs w:val="20"/>
              </w:rPr>
              <w:t xml:space="preserve"> has human resources to carry out its functions properly</w:t>
            </w:r>
          </w:p>
          <w:p w14:paraId="39D464C9"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CST6</w:t>
            </w:r>
            <w:r w:rsidRPr="006625BA">
              <w:rPr>
                <w:rFonts w:ascii="Times New Roman" w:hAnsi="Times New Roman" w:cs="Times New Roman"/>
                <w:color w:val="221E1F"/>
                <w:sz w:val="20"/>
                <w:szCs w:val="20"/>
              </w:rPr>
              <w:t>. Existence of a standard ADR reporting form in the setting</w:t>
            </w:r>
          </w:p>
          <w:p w14:paraId="242B50F2"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i/>
                <w:iCs/>
                <w:color w:val="221E1F"/>
                <w:sz w:val="20"/>
                <w:szCs w:val="20"/>
              </w:rPr>
              <w:t>Subset indicators:</w:t>
            </w:r>
            <w:r w:rsidRPr="006625BA">
              <w:rPr>
                <w:rFonts w:ascii="Times New Roman" w:hAnsi="Times New Roman" w:cs="Times New Roman"/>
                <w:i/>
                <w:iCs/>
                <w:color w:val="221E1F"/>
                <w:sz w:val="20"/>
                <w:szCs w:val="20"/>
              </w:rPr>
              <w:t xml:space="preserve"> </w:t>
            </w:r>
            <w:r w:rsidRPr="006625BA">
              <w:rPr>
                <w:rFonts w:ascii="Times New Roman" w:hAnsi="Times New Roman" w:cs="Times New Roman"/>
                <w:color w:val="221E1F"/>
                <w:sz w:val="20"/>
                <w:szCs w:val="20"/>
              </w:rPr>
              <w:t>The standard reporting form provides for reporting:</w:t>
            </w:r>
          </w:p>
          <w:p w14:paraId="2CCD0E82"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CST6a:</w:t>
            </w:r>
            <w:r w:rsidRPr="006625BA">
              <w:rPr>
                <w:rFonts w:ascii="Times New Roman" w:hAnsi="Times New Roman" w:cs="Times New Roman"/>
                <w:color w:val="221E1F"/>
                <w:sz w:val="20"/>
                <w:szCs w:val="20"/>
              </w:rPr>
              <w:t xml:space="preserve"> suspected medication errors;</w:t>
            </w:r>
          </w:p>
          <w:p w14:paraId="51B26CB7"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CST6b:</w:t>
            </w:r>
            <w:r w:rsidRPr="006625BA">
              <w:rPr>
                <w:rFonts w:ascii="Times New Roman" w:hAnsi="Times New Roman" w:cs="Times New Roman"/>
                <w:color w:val="221E1F"/>
                <w:sz w:val="20"/>
                <w:szCs w:val="20"/>
              </w:rPr>
              <w:t xml:space="preserve"> suspected counterfeit/substandard medicines;</w:t>
            </w:r>
          </w:p>
          <w:p w14:paraId="45017A01"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lastRenderedPageBreak/>
              <w:t>CST6c:</w:t>
            </w:r>
            <w:r w:rsidRPr="006625BA">
              <w:rPr>
                <w:rFonts w:ascii="Times New Roman" w:hAnsi="Times New Roman" w:cs="Times New Roman"/>
                <w:color w:val="221E1F"/>
                <w:sz w:val="20"/>
                <w:szCs w:val="20"/>
              </w:rPr>
              <w:t xml:space="preserve"> therapeutic ineffectiveness;</w:t>
            </w:r>
          </w:p>
          <w:p w14:paraId="64B243D0"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CST6d:</w:t>
            </w:r>
            <w:r w:rsidRPr="006625BA">
              <w:rPr>
                <w:rFonts w:ascii="Times New Roman" w:hAnsi="Times New Roman" w:cs="Times New Roman"/>
                <w:color w:val="221E1F"/>
                <w:sz w:val="20"/>
                <w:szCs w:val="20"/>
              </w:rPr>
              <w:t xml:space="preserve"> suspected misuse, abuse of and/or dependence on medicines;</w:t>
            </w:r>
          </w:p>
          <w:p w14:paraId="25E07F65"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CST6e:</w:t>
            </w:r>
            <w:r w:rsidRPr="006625BA">
              <w:rPr>
                <w:rFonts w:ascii="Times New Roman" w:hAnsi="Times New Roman" w:cs="Times New Roman"/>
                <w:color w:val="221E1F"/>
                <w:sz w:val="20"/>
                <w:szCs w:val="20"/>
              </w:rPr>
              <w:t xml:space="preserve"> ADRs by members of the general public</w:t>
            </w:r>
          </w:p>
          <w:p w14:paraId="308410B2"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CST7.</w:t>
            </w:r>
            <w:r w:rsidRPr="006625BA">
              <w:rPr>
                <w:rFonts w:ascii="Times New Roman" w:hAnsi="Times New Roman" w:cs="Times New Roman"/>
                <w:color w:val="221E1F"/>
                <w:sz w:val="20"/>
                <w:szCs w:val="20"/>
              </w:rPr>
              <w:t xml:space="preserve"> A process is in place for collection, recording and analysis of ADR reports</w:t>
            </w:r>
          </w:p>
          <w:p w14:paraId="55814FAF"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CST8.</w:t>
            </w:r>
            <w:r w:rsidRPr="006625BA">
              <w:rPr>
                <w:rFonts w:ascii="Times New Roman" w:hAnsi="Times New Roman" w:cs="Times New Roman"/>
                <w:color w:val="221E1F"/>
                <w:sz w:val="20"/>
                <w:szCs w:val="20"/>
              </w:rPr>
              <w:t xml:space="preserve"> Incorporation of pharmacovigilance into the national curriculum of the various health-care professions (includes </w:t>
            </w:r>
            <w:r w:rsidRPr="006625BA">
              <w:rPr>
                <w:rFonts w:ascii="Times New Roman" w:hAnsi="Times New Roman" w:cs="Times New Roman"/>
                <w:i/>
                <w:iCs/>
                <w:color w:val="221E1F"/>
                <w:sz w:val="20"/>
                <w:szCs w:val="20"/>
              </w:rPr>
              <w:t>subset indicators</w:t>
            </w:r>
            <w:r w:rsidRPr="006625BA">
              <w:rPr>
                <w:rFonts w:ascii="Times New Roman" w:hAnsi="Times New Roman" w:cs="Times New Roman"/>
                <w:color w:val="221E1F"/>
                <w:sz w:val="20"/>
                <w:szCs w:val="20"/>
              </w:rPr>
              <w:t>:</w:t>
            </w:r>
          </w:p>
          <w:p w14:paraId="5CDAD04D"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CST8a</w:t>
            </w:r>
            <w:r w:rsidRPr="006625BA">
              <w:rPr>
                <w:rFonts w:ascii="Times New Roman" w:hAnsi="Times New Roman" w:cs="Times New Roman"/>
                <w:color w:val="221E1F"/>
                <w:sz w:val="20"/>
                <w:szCs w:val="20"/>
              </w:rPr>
              <w:t>: for medical doctors;</w:t>
            </w:r>
          </w:p>
          <w:p w14:paraId="5176111C"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CST8b:</w:t>
            </w:r>
            <w:r w:rsidRPr="006625BA">
              <w:rPr>
                <w:rFonts w:ascii="Times New Roman" w:hAnsi="Times New Roman" w:cs="Times New Roman"/>
                <w:color w:val="221E1F"/>
                <w:sz w:val="20"/>
                <w:szCs w:val="20"/>
              </w:rPr>
              <w:t xml:space="preserve"> for dentists;</w:t>
            </w:r>
          </w:p>
          <w:p w14:paraId="397B31AB"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CST8c:</w:t>
            </w:r>
            <w:r w:rsidRPr="006625BA">
              <w:rPr>
                <w:rFonts w:ascii="Times New Roman" w:hAnsi="Times New Roman" w:cs="Times New Roman"/>
                <w:color w:val="221E1F"/>
                <w:sz w:val="20"/>
                <w:szCs w:val="20"/>
              </w:rPr>
              <w:t xml:space="preserve"> for pharmacists;</w:t>
            </w:r>
          </w:p>
          <w:p w14:paraId="462D4670"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CST8d:</w:t>
            </w:r>
            <w:r w:rsidRPr="006625BA">
              <w:rPr>
                <w:rFonts w:ascii="Times New Roman" w:hAnsi="Times New Roman" w:cs="Times New Roman"/>
                <w:color w:val="221E1F"/>
                <w:sz w:val="20"/>
                <w:szCs w:val="20"/>
              </w:rPr>
              <w:t xml:space="preserve"> for nurses or midwives;</w:t>
            </w:r>
          </w:p>
          <w:p w14:paraId="51F3FDF2" w14:textId="77777777" w:rsidR="006625BA" w:rsidRPr="006625BA" w:rsidRDefault="006625BA" w:rsidP="00B73943">
            <w:pPr>
              <w:pStyle w:val="Pa24"/>
              <w:spacing w:after="120"/>
              <w:ind w:left="1360" w:right="220" w:hanging="560"/>
              <w:jc w:val="both"/>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CST8e:</w:t>
            </w:r>
            <w:r w:rsidRPr="006625BA">
              <w:rPr>
                <w:rFonts w:ascii="Times New Roman" w:hAnsi="Times New Roman" w:cs="Times New Roman"/>
                <w:color w:val="221E1F"/>
                <w:sz w:val="20"/>
                <w:szCs w:val="20"/>
              </w:rPr>
              <w:t xml:space="preserve"> for others − </w:t>
            </w:r>
            <w:r w:rsidRPr="006625BA">
              <w:rPr>
                <w:rFonts w:ascii="Times New Roman" w:hAnsi="Times New Roman" w:cs="Times New Roman"/>
                <w:i/>
                <w:iCs/>
                <w:color w:val="221E1F"/>
                <w:sz w:val="20"/>
                <w:szCs w:val="20"/>
              </w:rPr>
              <w:t>to be specified</w:t>
            </w:r>
            <w:r w:rsidRPr="006625BA">
              <w:rPr>
                <w:rFonts w:ascii="Times New Roman" w:hAnsi="Times New Roman" w:cs="Times New Roman"/>
                <w:color w:val="221E1F"/>
                <w:sz w:val="20"/>
                <w:szCs w:val="20"/>
              </w:rPr>
              <w:t xml:space="preserve">) </w:t>
            </w:r>
          </w:p>
          <w:p w14:paraId="1861FCCA" w14:textId="77777777" w:rsidR="006625BA" w:rsidRPr="006625BA" w:rsidRDefault="006625BA" w:rsidP="00B73943">
            <w:pPr>
              <w:pStyle w:val="Pa23"/>
              <w:spacing w:after="120"/>
              <w:ind w:left="780" w:right="220" w:hanging="560"/>
              <w:jc w:val="both"/>
              <w:rPr>
                <w:rFonts w:ascii="Times New Roman" w:hAnsi="Times New Roman" w:cs="Times New Roman"/>
                <w:color w:val="221E1F"/>
                <w:sz w:val="20"/>
                <w:szCs w:val="20"/>
              </w:rPr>
            </w:pPr>
            <w:r w:rsidRPr="00B553CF">
              <w:rPr>
                <w:rFonts w:ascii="Times New Roman" w:hAnsi="Times New Roman" w:cs="Times New Roman"/>
                <w:b/>
                <w:bCs/>
                <w:color w:val="221E1F"/>
                <w:sz w:val="20"/>
                <w:szCs w:val="20"/>
              </w:rPr>
              <w:t>CST9.</w:t>
            </w:r>
            <w:r w:rsidRPr="006625BA">
              <w:rPr>
                <w:rFonts w:ascii="Times New Roman" w:hAnsi="Times New Roman" w:cs="Times New Roman"/>
                <w:color w:val="221E1F"/>
                <w:sz w:val="20"/>
                <w:szCs w:val="20"/>
              </w:rPr>
              <w:t xml:space="preserve"> Existence of a newsletter, information bulletin or website for dissemination of pharmacovigilance information</w:t>
            </w:r>
          </w:p>
          <w:p w14:paraId="4050E6B6" w14:textId="022B9CFD" w:rsidR="006625BA" w:rsidRDefault="006625BA" w:rsidP="00B73943">
            <w:pPr>
              <w:spacing w:after="120" w:line="360" w:lineRule="auto"/>
              <w:ind w:left="251"/>
              <w:jc w:val="both"/>
              <w:rPr>
                <w:sz w:val="24"/>
                <w:szCs w:val="24"/>
              </w:rPr>
            </w:pPr>
            <w:r w:rsidRPr="00B553CF">
              <w:rPr>
                <w:b/>
                <w:bCs/>
                <w:color w:val="221E1F"/>
                <w:sz w:val="20"/>
                <w:szCs w:val="20"/>
              </w:rPr>
              <w:t>CST10</w:t>
            </w:r>
            <w:r w:rsidRPr="006625BA">
              <w:rPr>
                <w:color w:val="221E1F"/>
                <w:sz w:val="20"/>
                <w:szCs w:val="20"/>
              </w:rPr>
              <w:t>. Existence of a national ADR or pharmacovigilance advisory committee or an expert committee in the setting capable of providing advice on medicine safety.</w:t>
            </w:r>
          </w:p>
        </w:tc>
      </w:tr>
    </w:tbl>
    <w:p w14:paraId="10090ED0" w14:textId="52177BA7" w:rsidR="006625BA" w:rsidRDefault="006625BA" w:rsidP="006625BA">
      <w:pPr>
        <w:spacing w:after="120" w:line="360" w:lineRule="auto"/>
        <w:jc w:val="both"/>
        <w:rPr>
          <w:sz w:val="24"/>
          <w:szCs w:val="24"/>
        </w:rPr>
      </w:pPr>
    </w:p>
    <w:p w14:paraId="69EF97E6" w14:textId="2B7FCF9C" w:rsidR="00CC5DE1" w:rsidRPr="000E5744" w:rsidRDefault="00CC5DE1" w:rsidP="006625BA">
      <w:pPr>
        <w:spacing w:after="120" w:line="360" w:lineRule="auto"/>
        <w:jc w:val="both"/>
        <w:rPr>
          <w:i/>
          <w:iCs/>
          <w:sz w:val="24"/>
          <w:szCs w:val="24"/>
        </w:rPr>
      </w:pPr>
      <w:r w:rsidRPr="000E5744">
        <w:rPr>
          <w:i/>
          <w:iCs/>
          <w:sz w:val="24"/>
          <w:szCs w:val="24"/>
        </w:rPr>
        <w:t>11.</w:t>
      </w:r>
      <w:r w:rsidR="003F5002">
        <w:rPr>
          <w:i/>
          <w:iCs/>
          <w:sz w:val="24"/>
          <w:szCs w:val="24"/>
        </w:rPr>
        <w:t>4</w:t>
      </w:r>
      <w:r w:rsidRPr="000E5744">
        <w:rPr>
          <w:i/>
          <w:iCs/>
          <w:sz w:val="24"/>
          <w:szCs w:val="24"/>
        </w:rPr>
        <w:t xml:space="preserve">.2 </w:t>
      </w:r>
      <w:r w:rsidRPr="000E5744">
        <w:rPr>
          <w:i/>
          <w:iCs/>
          <w:color w:val="000000"/>
          <w:sz w:val="24"/>
          <w:szCs w:val="24"/>
        </w:rPr>
        <w:t>Core process indicators</w:t>
      </w:r>
      <w:r w:rsidR="000E5744" w:rsidRPr="000E5744">
        <w:rPr>
          <w:i/>
          <w:iCs/>
          <w:color w:val="000000"/>
          <w:sz w:val="24"/>
          <w:szCs w:val="24"/>
        </w:rPr>
        <w:t>.</w:t>
      </w:r>
    </w:p>
    <w:tbl>
      <w:tblPr>
        <w:tblStyle w:val="TableGrid"/>
        <w:tblW w:w="0" w:type="auto"/>
        <w:tblLook w:val="04A0" w:firstRow="1" w:lastRow="0" w:firstColumn="1" w:lastColumn="0" w:noHBand="0" w:noVBand="1"/>
      </w:tblPr>
      <w:tblGrid>
        <w:gridCol w:w="9350"/>
      </w:tblGrid>
      <w:tr w:rsidR="00CC5DE1" w:rsidRPr="00CC5DE1" w14:paraId="43506247" w14:textId="77777777" w:rsidTr="00E378C8">
        <w:tc>
          <w:tcPr>
            <w:tcW w:w="9350" w:type="dxa"/>
            <w:shd w:val="clear" w:color="auto" w:fill="D9E2F3" w:themeFill="accent1" w:themeFillTint="33"/>
          </w:tcPr>
          <w:p w14:paraId="3D9041E3" w14:textId="77777777" w:rsidR="00CC5DE1" w:rsidRPr="00CC5DE1" w:rsidRDefault="00CC5DE1" w:rsidP="00E378C8">
            <w:pPr>
              <w:spacing w:after="120"/>
              <w:jc w:val="both"/>
              <w:rPr>
                <w:color w:val="221E1F"/>
                <w:sz w:val="20"/>
                <w:szCs w:val="20"/>
              </w:rPr>
            </w:pPr>
            <w:r w:rsidRPr="00CC5DE1">
              <w:rPr>
                <w:color w:val="221E1F"/>
                <w:sz w:val="20"/>
                <w:szCs w:val="20"/>
              </w:rPr>
              <w:t>The nine process indicators are as follows:</w:t>
            </w:r>
          </w:p>
          <w:p w14:paraId="19A3E541" w14:textId="77777777" w:rsidR="00CC5DE1" w:rsidRPr="00CC5DE1" w:rsidRDefault="00CC5DE1" w:rsidP="00E378C8">
            <w:pPr>
              <w:pStyle w:val="Pa22"/>
              <w:spacing w:before="220"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CP1.</w:t>
            </w:r>
            <w:r w:rsidRPr="00CC5DE1">
              <w:rPr>
                <w:rFonts w:ascii="Times New Roman" w:hAnsi="Times New Roman" w:cs="Times New Roman"/>
                <w:color w:val="221E1F"/>
                <w:sz w:val="20"/>
                <w:szCs w:val="20"/>
              </w:rPr>
              <w:t xml:space="preserve"> Total number of ADR reports received in the previous calendar year (also expressed as number of ADRs per 100 000 persons in the population)</w:t>
            </w:r>
          </w:p>
          <w:p w14:paraId="3F9EBA84"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CP2.</w:t>
            </w:r>
            <w:r w:rsidRPr="00CC5DE1">
              <w:rPr>
                <w:rFonts w:ascii="Times New Roman" w:hAnsi="Times New Roman" w:cs="Times New Roman"/>
                <w:color w:val="221E1F"/>
                <w:sz w:val="20"/>
                <w:szCs w:val="20"/>
              </w:rPr>
              <w:t xml:space="preserve"> Current total number of reports in the national, regional or local database</w:t>
            </w:r>
          </w:p>
          <w:p w14:paraId="476633DE"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CP3.</w:t>
            </w:r>
            <w:r w:rsidRPr="00CC5DE1">
              <w:rPr>
                <w:rFonts w:ascii="Times New Roman" w:hAnsi="Times New Roman" w:cs="Times New Roman"/>
                <w:color w:val="221E1F"/>
                <w:sz w:val="20"/>
                <w:szCs w:val="20"/>
              </w:rPr>
              <w:t xml:space="preserve"> Percentage of total annual reports acknowledged and/or issued feedback</w:t>
            </w:r>
          </w:p>
          <w:p w14:paraId="36E0A44A"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CP4</w:t>
            </w:r>
            <w:r w:rsidRPr="00CC5DE1">
              <w:rPr>
                <w:rFonts w:ascii="Times New Roman" w:hAnsi="Times New Roman" w:cs="Times New Roman"/>
                <w:color w:val="221E1F"/>
                <w:sz w:val="20"/>
                <w:szCs w:val="20"/>
              </w:rPr>
              <w:t xml:space="preserve">. Percentage of total reports subjected to causality assessment in the previous calendar year </w:t>
            </w:r>
          </w:p>
          <w:p w14:paraId="630B8026"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CP5.</w:t>
            </w:r>
            <w:r w:rsidRPr="00CC5DE1">
              <w:rPr>
                <w:rFonts w:ascii="Times New Roman" w:hAnsi="Times New Roman" w:cs="Times New Roman"/>
                <w:color w:val="221E1F"/>
                <w:sz w:val="20"/>
                <w:szCs w:val="20"/>
              </w:rPr>
              <w:t xml:space="preserve"> Percentage of total annual reports satisfactorily completed and submitted to the national pharmacovigilance </w:t>
            </w:r>
            <w:proofErr w:type="spellStart"/>
            <w:r w:rsidRPr="00CC5DE1">
              <w:rPr>
                <w:rFonts w:ascii="Times New Roman" w:hAnsi="Times New Roman" w:cs="Times New Roman"/>
                <w:color w:val="221E1F"/>
                <w:sz w:val="20"/>
                <w:szCs w:val="20"/>
              </w:rPr>
              <w:t>centre</w:t>
            </w:r>
            <w:proofErr w:type="spellEnd"/>
            <w:r w:rsidRPr="00CC5DE1">
              <w:rPr>
                <w:rFonts w:ascii="Times New Roman" w:hAnsi="Times New Roman" w:cs="Times New Roman"/>
                <w:color w:val="221E1F"/>
                <w:sz w:val="20"/>
                <w:szCs w:val="20"/>
              </w:rPr>
              <w:t xml:space="preserve"> in the previous calendar year </w:t>
            </w:r>
          </w:p>
          <w:p w14:paraId="4B4026C4"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021D16">
              <w:rPr>
                <w:rFonts w:ascii="Times New Roman" w:hAnsi="Times New Roman" w:cs="Times New Roman"/>
                <w:b/>
                <w:bCs/>
                <w:i/>
                <w:iCs/>
                <w:color w:val="221E1F"/>
                <w:sz w:val="20"/>
                <w:szCs w:val="20"/>
              </w:rPr>
              <w:t xml:space="preserve">Subset indicator </w:t>
            </w:r>
            <w:r w:rsidRPr="00021D16">
              <w:rPr>
                <w:rFonts w:ascii="Times New Roman" w:hAnsi="Times New Roman" w:cs="Times New Roman"/>
                <w:b/>
                <w:bCs/>
                <w:color w:val="221E1F"/>
                <w:sz w:val="20"/>
                <w:szCs w:val="20"/>
              </w:rPr>
              <w:t>CP5a</w:t>
            </w:r>
            <w:r w:rsidRPr="00CC5DE1">
              <w:rPr>
                <w:rFonts w:ascii="Times New Roman" w:hAnsi="Times New Roman" w:cs="Times New Roman"/>
                <w:color w:val="221E1F"/>
                <w:sz w:val="20"/>
                <w:szCs w:val="20"/>
              </w:rPr>
              <w:t xml:space="preserve">: of the reports satisfactorily completed and submitted to the national pharmacovigilance </w:t>
            </w:r>
            <w:proofErr w:type="spellStart"/>
            <w:r w:rsidRPr="00CC5DE1">
              <w:rPr>
                <w:rFonts w:ascii="Times New Roman" w:hAnsi="Times New Roman" w:cs="Times New Roman"/>
                <w:color w:val="221E1F"/>
                <w:sz w:val="20"/>
                <w:szCs w:val="20"/>
              </w:rPr>
              <w:t>centre</w:t>
            </w:r>
            <w:proofErr w:type="spellEnd"/>
            <w:r w:rsidRPr="00CC5DE1">
              <w:rPr>
                <w:rFonts w:ascii="Times New Roman" w:hAnsi="Times New Roman" w:cs="Times New Roman"/>
                <w:color w:val="221E1F"/>
                <w:sz w:val="20"/>
                <w:szCs w:val="20"/>
              </w:rPr>
              <w:t>, percentage of reports committed to the WHO database</w:t>
            </w:r>
          </w:p>
          <w:p w14:paraId="771C1BCB"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CP6.</w:t>
            </w:r>
            <w:r w:rsidRPr="00CC5DE1">
              <w:rPr>
                <w:rFonts w:ascii="Times New Roman" w:hAnsi="Times New Roman" w:cs="Times New Roman"/>
                <w:color w:val="221E1F"/>
                <w:sz w:val="20"/>
                <w:szCs w:val="20"/>
              </w:rPr>
              <w:t xml:space="preserve"> Percentage of total reports attributed to therapeutic ineffectiveness received in the previous calendar year</w:t>
            </w:r>
          </w:p>
          <w:p w14:paraId="0C633ED9"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CP7</w:t>
            </w:r>
            <w:r w:rsidRPr="00CC5DE1">
              <w:rPr>
                <w:rFonts w:ascii="Times New Roman" w:hAnsi="Times New Roman" w:cs="Times New Roman"/>
                <w:color w:val="221E1F"/>
                <w:sz w:val="20"/>
                <w:szCs w:val="20"/>
              </w:rPr>
              <w:t>. Percentage of reports on medication errors reported in the previous year</w:t>
            </w:r>
          </w:p>
          <w:p w14:paraId="566EC74C" w14:textId="77777777" w:rsidR="00CC5DE1" w:rsidRPr="00CC5DE1" w:rsidRDefault="00CC5DE1" w:rsidP="00E378C8">
            <w:pPr>
              <w:pStyle w:val="Pa23"/>
              <w:spacing w:after="120"/>
              <w:ind w:left="780" w:right="220" w:hanging="560"/>
              <w:jc w:val="both"/>
              <w:rPr>
                <w:rFonts w:ascii="Times New Roman" w:hAnsi="Times New Roman" w:cs="Times New Roman"/>
                <w:color w:val="221E1F"/>
                <w:sz w:val="20"/>
                <w:szCs w:val="20"/>
              </w:rPr>
            </w:pPr>
            <w:r w:rsidRPr="00CC5DE1">
              <w:rPr>
                <w:rFonts w:ascii="Times New Roman" w:hAnsi="Times New Roman" w:cs="Times New Roman"/>
                <w:b/>
                <w:bCs/>
                <w:color w:val="221E1F"/>
                <w:sz w:val="20"/>
                <w:szCs w:val="20"/>
              </w:rPr>
              <w:t>CP8.</w:t>
            </w:r>
            <w:r w:rsidRPr="00CC5DE1">
              <w:rPr>
                <w:rFonts w:ascii="Times New Roman" w:hAnsi="Times New Roman" w:cs="Times New Roman"/>
                <w:color w:val="221E1F"/>
                <w:sz w:val="20"/>
                <w:szCs w:val="20"/>
              </w:rPr>
              <w:t xml:space="preserve"> Percentage of registered pharmaceutical companies having a functional pharmacovigilance system</w:t>
            </w:r>
          </w:p>
          <w:p w14:paraId="438E4095" w14:textId="6E621ABF" w:rsidR="00CC5DE1" w:rsidRPr="00CC5DE1" w:rsidRDefault="00CC5DE1" w:rsidP="00E378C8">
            <w:pPr>
              <w:spacing w:after="120"/>
              <w:ind w:left="251"/>
              <w:jc w:val="both"/>
              <w:rPr>
                <w:b/>
                <w:bCs/>
                <w:sz w:val="20"/>
                <w:szCs w:val="20"/>
              </w:rPr>
            </w:pPr>
            <w:r w:rsidRPr="00CC5DE1">
              <w:rPr>
                <w:b/>
                <w:bCs/>
                <w:color w:val="221E1F"/>
                <w:sz w:val="20"/>
                <w:szCs w:val="20"/>
              </w:rPr>
              <w:t>CP9</w:t>
            </w:r>
            <w:r w:rsidRPr="00CC5DE1">
              <w:rPr>
                <w:color w:val="221E1F"/>
                <w:sz w:val="20"/>
                <w:szCs w:val="20"/>
              </w:rPr>
              <w:t>. Number of active surveillance activities initiated, ongoing or completed during the past five calendar years</w:t>
            </w:r>
            <w:r w:rsidR="00B73943">
              <w:rPr>
                <w:color w:val="221E1F"/>
                <w:sz w:val="20"/>
                <w:szCs w:val="20"/>
              </w:rPr>
              <w:t>.</w:t>
            </w:r>
          </w:p>
        </w:tc>
      </w:tr>
    </w:tbl>
    <w:p w14:paraId="325D2310" w14:textId="38ED410B" w:rsidR="009613B8" w:rsidRDefault="009613B8" w:rsidP="00DE43B0">
      <w:pPr>
        <w:jc w:val="both"/>
        <w:rPr>
          <w:b/>
          <w:bCs/>
          <w:sz w:val="24"/>
          <w:szCs w:val="24"/>
        </w:rPr>
      </w:pPr>
    </w:p>
    <w:p w14:paraId="6FC3F898" w14:textId="6615EADB" w:rsidR="00CC19C8" w:rsidRDefault="00CC19C8" w:rsidP="00CC19C8">
      <w:pPr>
        <w:spacing w:after="120" w:line="360" w:lineRule="auto"/>
        <w:jc w:val="both"/>
        <w:rPr>
          <w:i/>
          <w:iCs/>
          <w:sz w:val="24"/>
          <w:szCs w:val="24"/>
        </w:rPr>
      </w:pPr>
      <w:r w:rsidRPr="000E5744">
        <w:rPr>
          <w:i/>
          <w:iCs/>
          <w:sz w:val="24"/>
          <w:szCs w:val="24"/>
        </w:rPr>
        <w:t>11.</w:t>
      </w:r>
      <w:r w:rsidR="003F5002">
        <w:rPr>
          <w:i/>
          <w:iCs/>
          <w:sz w:val="24"/>
          <w:szCs w:val="24"/>
        </w:rPr>
        <w:t>4</w:t>
      </w:r>
      <w:r w:rsidRPr="000E5744">
        <w:rPr>
          <w:i/>
          <w:iCs/>
          <w:sz w:val="24"/>
          <w:szCs w:val="24"/>
        </w:rPr>
        <w:t>.</w:t>
      </w:r>
      <w:r>
        <w:rPr>
          <w:i/>
          <w:iCs/>
          <w:sz w:val="24"/>
          <w:szCs w:val="24"/>
        </w:rPr>
        <w:t>3</w:t>
      </w:r>
      <w:r w:rsidRPr="000E5744">
        <w:rPr>
          <w:i/>
          <w:iCs/>
          <w:sz w:val="24"/>
          <w:szCs w:val="24"/>
        </w:rPr>
        <w:t xml:space="preserve"> </w:t>
      </w:r>
      <w:r w:rsidRPr="00CC19C8">
        <w:rPr>
          <w:i/>
          <w:iCs/>
          <w:sz w:val="24"/>
          <w:szCs w:val="24"/>
        </w:rPr>
        <w:t>Core outcome or impact indicators</w:t>
      </w:r>
      <w:r>
        <w:rPr>
          <w:i/>
          <w:iCs/>
          <w:sz w:val="24"/>
          <w:szCs w:val="24"/>
        </w:rPr>
        <w:t>.</w:t>
      </w:r>
    </w:p>
    <w:tbl>
      <w:tblPr>
        <w:tblStyle w:val="TableGrid"/>
        <w:tblW w:w="0" w:type="auto"/>
        <w:tblLook w:val="04A0" w:firstRow="1" w:lastRow="0" w:firstColumn="1" w:lastColumn="0" w:noHBand="0" w:noVBand="1"/>
      </w:tblPr>
      <w:tblGrid>
        <w:gridCol w:w="9350"/>
      </w:tblGrid>
      <w:tr w:rsidR="00CC19C8" w14:paraId="56DE3E44" w14:textId="77777777" w:rsidTr="00021D16">
        <w:tc>
          <w:tcPr>
            <w:tcW w:w="9350" w:type="dxa"/>
            <w:shd w:val="clear" w:color="auto" w:fill="D9E2F3" w:themeFill="accent1" w:themeFillTint="33"/>
          </w:tcPr>
          <w:p w14:paraId="0CE72DAB" w14:textId="77777777" w:rsidR="00CC19C8" w:rsidRPr="00021D16" w:rsidRDefault="00021D16" w:rsidP="00021D16">
            <w:pPr>
              <w:spacing w:after="120" w:line="360" w:lineRule="auto"/>
              <w:jc w:val="both"/>
              <w:rPr>
                <w:color w:val="221E1F"/>
                <w:sz w:val="20"/>
                <w:szCs w:val="20"/>
              </w:rPr>
            </w:pPr>
            <w:r w:rsidRPr="00021D16">
              <w:rPr>
                <w:color w:val="221E1F"/>
                <w:sz w:val="20"/>
                <w:szCs w:val="20"/>
              </w:rPr>
              <w:t>The eight outcome or impact indicators are as follows:</w:t>
            </w:r>
          </w:p>
          <w:p w14:paraId="09304982" w14:textId="77777777" w:rsidR="00021D16" w:rsidRPr="00021D16" w:rsidRDefault="00021D16" w:rsidP="00021D16">
            <w:pPr>
              <w:pStyle w:val="Pa22"/>
              <w:spacing w:before="220" w:after="120"/>
              <w:ind w:left="78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CO1.</w:t>
            </w:r>
            <w:r w:rsidRPr="00021D16">
              <w:rPr>
                <w:rFonts w:ascii="Times New Roman" w:hAnsi="Times New Roman" w:cs="Times New Roman"/>
                <w:color w:val="221E1F"/>
                <w:sz w:val="20"/>
                <w:szCs w:val="20"/>
              </w:rPr>
              <w:t xml:space="preserve"> Number of signals detected in the past 5 years by the pharmacovigilance </w:t>
            </w:r>
            <w:proofErr w:type="spellStart"/>
            <w:r w:rsidRPr="00021D16">
              <w:rPr>
                <w:rFonts w:ascii="Times New Roman" w:hAnsi="Times New Roman" w:cs="Times New Roman"/>
                <w:color w:val="221E1F"/>
                <w:sz w:val="20"/>
                <w:szCs w:val="20"/>
              </w:rPr>
              <w:t>centre</w:t>
            </w:r>
            <w:proofErr w:type="spellEnd"/>
          </w:p>
          <w:p w14:paraId="1C80BECB" w14:textId="77777777" w:rsidR="00021D16" w:rsidRPr="00021D16" w:rsidRDefault="00021D16" w:rsidP="00021D16">
            <w:pPr>
              <w:pStyle w:val="Pa23"/>
              <w:spacing w:after="120"/>
              <w:ind w:left="78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lastRenderedPageBreak/>
              <w:t>CO2</w:t>
            </w:r>
            <w:r w:rsidRPr="00021D16">
              <w:rPr>
                <w:rFonts w:ascii="Times New Roman" w:hAnsi="Times New Roman" w:cs="Times New Roman"/>
                <w:color w:val="221E1F"/>
                <w:sz w:val="20"/>
                <w:szCs w:val="20"/>
              </w:rPr>
              <w:t>. Number of regulatory actions taken in the preceding year as a consequence of national pharmacovigilance activities includes</w:t>
            </w:r>
          </w:p>
          <w:p w14:paraId="12243EED" w14:textId="77777777" w:rsidR="00021D16" w:rsidRPr="00021D16" w:rsidRDefault="00021D16" w:rsidP="00021D16">
            <w:pPr>
              <w:pStyle w:val="Pa24"/>
              <w:spacing w:after="120"/>
              <w:ind w:left="136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CO2a:</w:t>
            </w:r>
            <w:r w:rsidRPr="00021D16">
              <w:rPr>
                <w:rFonts w:ascii="Times New Roman" w:hAnsi="Times New Roman" w:cs="Times New Roman"/>
                <w:color w:val="221E1F"/>
                <w:sz w:val="20"/>
                <w:szCs w:val="20"/>
              </w:rPr>
              <w:t xml:space="preserve"> number of product label changes (variation);</w:t>
            </w:r>
          </w:p>
          <w:p w14:paraId="138EC106" w14:textId="77777777" w:rsidR="00021D16" w:rsidRPr="00021D16" w:rsidRDefault="00021D16" w:rsidP="00021D16">
            <w:pPr>
              <w:pStyle w:val="Pa24"/>
              <w:spacing w:after="120"/>
              <w:ind w:left="136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CO2b:</w:t>
            </w:r>
            <w:r w:rsidRPr="00021D16">
              <w:rPr>
                <w:rFonts w:ascii="Times New Roman" w:hAnsi="Times New Roman" w:cs="Times New Roman"/>
                <w:color w:val="221E1F"/>
                <w:sz w:val="20"/>
                <w:szCs w:val="20"/>
              </w:rPr>
              <w:t xml:space="preserve"> number of safety warnings on medicines to: (</w:t>
            </w:r>
            <w:proofErr w:type="spellStart"/>
            <w:r w:rsidRPr="00021D16">
              <w:rPr>
                <w:rFonts w:ascii="Times New Roman" w:hAnsi="Times New Roman" w:cs="Times New Roman"/>
                <w:color w:val="221E1F"/>
                <w:sz w:val="20"/>
                <w:szCs w:val="20"/>
              </w:rPr>
              <w:t>i</w:t>
            </w:r>
            <w:proofErr w:type="spellEnd"/>
            <w:r w:rsidRPr="00021D16">
              <w:rPr>
                <w:rFonts w:ascii="Times New Roman" w:hAnsi="Times New Roman" w:cs="Times New Roman"/>
                <w:color w:val="221E1F"/>
                <w:sz w:val="20"/>
                <w:szCs w:val="20"/>
              </w:rPr>
              <w:t>) health professionals, (ii) general public;</w:t>
            </w:r>
          </w:p>
          <w:p w14:paraId="668FBC20" w14:textId="77777777" w:rsidR="00021D16" w:rsidRPr="00021D16" w:rsidRDefault="00021D16" w:rsidP="00021D16">
            <w:pPr>
              <w:pStyle w:val="Pa24"/>
              <w:spacing w:after="120"/>
              <w:ind w:left="136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CO2c:</w:t>
            </w:r>
            <w:r w:rsidRPr="00021D16">
              <w:rPr>
                <w:rFonts w:ascii="Times New Roman" w:hAnsi="Times New Roman" w:cs="Times New Roman"/>
                <w:color w:val="221E1F"/>
                <w:sz w:val="20"/>
                <w:szCs w:val="20"/>
              </w:rPr>
              <w:t xml:space="preserve"> number of withdrawals of medicines;</w:t>
            </w:r>
          </w:p>
          <w:p w14:paraId="3330F343" w14:textId="77777777" w:rsidR="00021D16" w:rsidRPr="00021D16" w:rsidRDefault="00021D16" w:rsidP="00021D16">
            <w:pPr>
              <w:pStyle w:val="Pa24"/>
              <w:spacing w:after="120"/>
              <w:ind w:left="136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CO2d:</w:t>
            </w:r>
            <w:r w:rsidRPr="00021D16">
              <w:rPr>
                <w:rFonts w:ascii="Times New Roman" w:hAnsi="Times New Roman" w:cs="Times New Roman"/>
                <w:color w:val="221E1F"/>
                <w:sz w:val="20"/>
                <w:szCs w:val="20"/>
              </w:rPr>
              <w:t xml:space="preserve"> number of other restrictions on use of medicines</w:t>
            </w:r>
          </w:p>
          <w:p w14:paraId="77F130CC" w14:textId="77777777" w:rsidR="00021D16" w:rsidRPr="00021D16" w:rsidRDefault="00021D16" w:rsidP="00021D16">
            <w:pPr>
              <w:pStyle w:val="Pa23"/>
              <w:spacing w:after="120"/>
              <w:ind w:left="78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CO3.</w:t>
            </w:r>
            <w:r w:rsidRPr="00021D16">
              <w:rPr>
                <w:rFonts w:ascii="Times New Roman" w:hAnsi="Times New Roman" w:cs="Times New Roman"/>
                <w:color w:val="221E1F"/>
                <w:sz w:val="20"/>
                <w:szCs w:val="20"/>
              </w:rPr>
              <w:t xml:space="preserve"> Number of medicine-related hospital admissions per 1000 admissions</w:t>
            </w:r>
          </w:p>
          <w:p w14:paraId="7BF31184" w14:textId="77777777" w:rsidR="00021D16" w:rsidRPr="00021D16" w:rsidRDefault="00021D16" w:rsidP="00021D16">
            <w:pPr>
              <w:spacing w:after="120" w:line="360" w:lineRule="auto"/>
              <w:ind w:firstLine="251"/>
              <w:jc w:val="both"/>
              <w:rPr>
                <w:color w:val="221E1F"/>
                <w:sz w:val="20"/>
                <w:szCs w:val="20"/>
              </w:rPr>
            </w:pPr>
            <w:r w:rsidRPr="00021D16">
              <w:rPr>
                <w:b/>
                <w:bCs/>
                <w:color w:val="221E1F"/>
                <w:sz w:val="20"/>
                <w:szCs w:val="20"/>
              </w:rPr>
              <w:t>CO4.</w:t>
            </w:r>
            <w:r w:rsidRPr="00021D16">
              <w:rPr>
                <w:color w:val="221E1F"/>
                <w:sz w:val="20"/>
                <w:szCs w:val="20"/>
              </w:rPr>
              <w:t xml:space="preserve"> Number </w:t>
            </w:r>
            <w:r w:rsidRPr="00021D16">
              <w:rPr>
                <w:color w:val="000000"/>
                <w:sz w:val="20"/>
                <w:szCs w:val="20"/>
              </w:rPr>
              <w:t xml:space="preserve">of medicine-related deaths per 1000 persons served by the hospital </w:t>
            </w:r>
            <w:r w:rsidRPr="00021D16">
              <w:rPr>
                <w:color w:val="221E1F"/>
                <w:sz w:val="20"/>
                <w:szCs w:val="20"/>
              </w:rPr>
              <w:t>per year</w:t>
            </w:r>
          </w:p>
          <w:p w14:paraId="7C77761D" w14:textId="77777777" w:rsidR="00021D16" w:rsidRPr="00021D16" w:rsidRDefault="00021D16" w:rsidP="00021D16">
            <w:pPr>
              <w:pStyle w:val="Pa23"/>
              <w:spacing w:after="120"/>
              <w:ind w:left="78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CO5.</w:t>
            </w:r>
            <w:r w:rsidRPr="00021D16">
              <w:rPr>
                <w:rFonts w:ascii="Times New Roman" w:hAnsi="Times New Roman" w:cs="Times New Roman"/>
                <w:color w:val="221E1F"/>
                <w:sz w:val="20"/>
                <w:szCs w:val="20"/>
              </w:rPr>
              <w:t xml:space="preserve"> Number of medicine-related deaths per 100 000 persons in the population </w:t>
            </w:r>
          </w:p>
          <w:p w14:paraId="0DFB28CE" w14:textId="0927F113" w:rsidR="00021D16" w:rsidRPr="00021D16" w:rsidRDefault="00021D16" w:rsidP="00021D16">
            <w:pPr>
              <w:pStyle w:val="Pa23"/>
              <w:spacing w:after="120"/>
              <w:ind w:left="78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CO6.</w:t>
            </w:r>
            <w:r w:rsidRPr="00021D16">
              <w:rPr>
                <w:rFonts w:ascii="Times New Roman" w:hAnsi="Times New Roman" w:cs="Times New Roman"/>
                <w:color w:val="221E1F"/>
                <w:sz w:val="20"/>
                <w:szCs w:val="20"/>
              </w:rPr>
              <w:t xml:space="preserve"> Average cost (US$</w:t>
            </w:r>
            <w:r w:rsidR="00546F7F">
              <w:rPr>
                <w:rFonts w:ascii="Times New Roman" w:hAnsi="Times New Roman" w:cs="Times New Roman"/>
                <w:color w:val="221E1F"/>
                <w:sz w:val="20"/>
                <w:szCs w:val="20"/>
              </w:rPr>
              <w:t xml:space="preserve"> or PKRs</w:t>
            </w:r>
            <w:r w:rsidRPr="00021D16">
              <w:rPr>
                <w:rFonts w:ascii="Times New Roman" w:hAnsi="Times New Roman" w:cs="Times New Roman"/>
                <w:color w:val="221E1F"/>
                <w:sz w:val="20"/>
                <w:szCs w:val="20"/>
              </w:rPr>
              <w:t xml:space="preserve">) of treatment of medicine-related illness </w:t>
            </w:r>
          </w:p>
          <w:p w14:paraId="77591A75" w14:textId="77777777" w:rsidR="00021D16" w:rsidRPr="00021D16" w:rsidRDefault="00021D16" w:rsidP="00021D16">
            <w:pPr>
              <w:pStyle w:val="Pa23"/>
              <w:spacing w:after="120"/>
              <w:ind w:left="780" w:right="220" w:hanging="560"/>
              <w:rPr>
                <w:rFonts w:ascii="Times New Roman" w:hAnsi="Times New Roman" w:cs="Times New Roman"/>
                <w:color w:val="221E1F"/>
                <w:sz w:val="20"/>
                <w:szCs w:val="20"/>
              </w:rPr>
            </w:pPr>
            <w:r w:rsidRPr="00021D16">
              <w:rPr>
                <w:rFonts w:ascii="Times New Roman" w:hAnsi="Times New Roman" w:cs="Times New Roman"/>
                <w:b/>
                <w:bCs/>
                <w:color w:val="221E1F"/>
                <w:sz w:val="20"/>
                <w:szCs w:val="20"/>
              </w:rPr>
              <w:t>CO7.</w:t>
            </w:r>
            <w:r w:rsidRPr="00021D16">
              <w:rPr>
                <w:rFonts w:ascii="Times New Roman" w:hAnsi="Times New Roman" w:cs="Times New Roman"/>
                <w:color w:val="221E1F"/>
                <w:sz w:val="20"/>
                <w:szCs w:val="20"/>
              </w:rPr>
              <w:t xml:space="preserve"> Average duration (days) of medicine-related extension of hospital stay </w:t>
            </w:r>
          </w:p>
          <w:p w14:paraId="1C43248F" w14:textId="76C8C5AC" w:rsidR="00021D16" w:rsidRPr="00021D16" w:rsidRDefault="00021D16" w:rsidP="00021D16">
            <w:pPr>
              <w:spacing w:after="120" w:line="360" w:lineRule="auto"/>
              <w:ind w:firstLine="251"/>
              <w:jc w:val="both"/>
              <w:rPr>
                <w:sz w:val="24"/>
                <w:szCs w:val="24"/>
              </w:rPr>
            </w:pPr>
            <w:r w:rsidRPr="00021D16">
              <w:rPr>
                <w:b/>
                <w:bCs/>
                <w:color w:val="221E1F"/>
                <w:sz w:val="20"/>
                <w:szCs w:val="20"/>
              </w:rPr>
              <w:t>CO8.</w:t>
            </w:r>
            <w:r w:rsidRPr="00021D16">
              <w:rPr>
                <w:color w:val="221E1F"/>
                <w:sz w:val="20"/>
                <w:szCs w:val="20"/>
              </w:rPr>
              <w:t xml:space="preserve"> Average cost (US$</w:t>
            </w:r>
            <w:r w:rsidR="00546F7F">
              <w:rPr>
                <w:color w:val="221E1F"/>
                <w:sz w:val="20"/>
                <w:szCs w:val="20"/>
              </w:rPr>
              <w:t xml:space="preserve"> or PKRs</w:t>
            </w:r>
            <w:r w:rsidRPr="00021D16">
              <w:rPr>
                <w:color w:val="221E1F"/>
                <w:sz w:val="20"/>
                <w:szCs w:val="20"/>
              </w:rPr>
              <w:t>) of medicine-related hospitalization</w:t>
            </w:r>
          </w:p>
        </w:tc>
      </w:tr>
    </w:tbl>
    <w:p w14:paraId="0D84265A" w14:textId="314A82D8" w:rsidR="005109B4" w:rsidRDefault="005109B4" w:rsidP="005109B4">
      <w:pPr>
        <w:spacing w:after="120" w:line="360" w:lineRule="auto"/>
        <w:jc w:val="both"/>
        <w:rPr>
          <w:b/>
          <w:bCs/>
          <w:color w:val="000000"/>
          <w:sz w:val="28"/>
          <w:szCs w:val="28"/>
          <w:u w:val="single"/>
        </w:rPr>
      </w:pPr>
      <w:r w:rsidRPr="005109B4">
        <w:rPr>
          <w:b/>
          <w:bCs/>
          <w:color w:val="000000"/>
          <w:sz w:val="28"/>
          <w:szCs w:val="28"/>
        </w:rPr>
        <w:lastRenderedPageBreak/>
        <w:t>11.</w:t>
      </w:r>
      <w:r w:rsidR="003F5002">
        <w:rPr>
          <w:b/>
          <w:bCs/>
          <w:color w:val="000000"/>
          <w:sz w:val="28"/>
          <w:szCs w:val="28"/>
        </w:rPr>
        <w:t>5</w:t>
      </w:r>
      <w:r w:rsidRPr="005109B4">
        <w:rPr>
          <w:b/>
          <w:bCs/>
          <w:color w:val="000000"/>
          <w:sz w:val="28"/>
          <w:szCs w:val="28"/>
        </w:rPr>
        <w:t>.</w:t>
      </w:r>
      <w:r>
        <w:rPr>
          <w:b/>
          <w:bCs/>
          <w:color w:val="000000"/>
          <w:sz w:val="28"/>
          <w:szCs w:val="28"/>
          <w:u w:val="single"/>
        </w:rPr>
        <w:t xml:space="preserve"> </w:t>
      </w:r>
      <w:r w:rsidR="00E37C00" w:rsidRPr="00E37C00">
        <w:rPr>
          <w:b/>
          <w:bCs/>
          <w:color w:val="000000"/>
          <w:sz w:val="28"/>
          <w:szCs w:val="28"/>
          <w:u w:val="single"/>
        </w:rPr>
        <w:t>Complementary Pharmacovigilance indicators</w:t>
      </w:r>
    </w:p>
    <w:p w14:paraId="16415713" w14:textId="15F135B5" w:rsidR="00CC19C8" w:rsidRDefault="009F5B02" w:rsidP="00CC19C8">
      <w:pPr>
        <w:spacing w:after="120" w:line="360" w:lineRule="auto"/>
        <w:jc w:val="both"/>
        <w:rPr>
          <w:i/>
          <w:iCs/>
          <w:color w:val="000000"/>
          <w:sz w:val="24"/>
          <w:szCs w:val="24"/>
        </w:rPr>
      </w:pPr>
      <w:r w:rsidRPr="009F5B02">
        <w:rPr>
          <w:i/>
          <w:iCs/>
          <w:color w:val="000000"/>
          <w:sz w:val="24"/>
          <w:szCs w:val="24"/>
        </w:rPr>
        <w:t>11.</w:t>
      </w:r>
      <w:r w:rsidR="003F5002">
        <w:rPr>
          <w:i/>
          <w:iCs/>
          <w:color w:val="000000"/>
          <w:sz w:val="24"/>
          <w:szCs w:val="24"/>
        </w:rPr>
        <w:t>5</w:t>
      </w:r>
      <w:r w:rsidRPr="009F5B02">
        <w:rPr>
          <w:i/>
          <w:iCs/>
          <w:color w:val="000000"/>
          <w:sz w:val="24"/>
          <w:szCs w:val="24"/>
        </w:rPr>
        <w:t>.1 Complementary structural indicators</w:t>
      </w:r>
    </w:p>
    <w:tbl>
      <w:tblPr>
        <w:tblStyle w:val="TableGrid"/>
        <w:tblW w:w="0" w:type="auto"/>
        <w:tblLook w:val="04A0" w:firstRow="1" w:lastRow="0" w:firstColumn="1" w:lastColumn="0" w:noHBand="0" w:noVBand="1"/>
      </w:tblPr>
      <w:tblGrid>
        <w:gridCol w:w="9350"/>
      </w:tblGrid>
      <w:tr w:rsidR="00115D8A" w14:paraId="1150468C" w14:textId="77777777" w:rsidTr="009E1B5F">
        <w:tc>
          <w:tcPr>
            <w:tcW w:w="9350" w:type="dxa"/>
            <w:shd w:val="clear" w:color="auto" w:fill="D9E2F3" w:themeFill="accent1" w:themeFillTint="33"/>
          </w:tcPr>
          <w:p w14:paraId="3B0B29F7" w14:textId="77777777" w:rsidR="00115D8A" w:rsidRPr="006F665E" w:rsidRDefault="006F665E" w:rsidP="00DC55E7">
            <w:pPr>
              <w:spacing w:after="120" w:line="360" w:lineRule="auto"/>
              <w:jc w:val="both"/>
              <w:rPr>
                <w:color w:val="221E1F"/>
                <w:sz w:val="20"/>
                <w:szCs w:val="20"/>
              </w:rPr>
            </w:pPr>
            <w:r w:rsidRPr="006F665E">
              <w:rPr>
                <w:color w:val="221E1F"/>
                <w:sz w:val="20"/>
                <w:szCs w:val="20"/>
              </w:rPr>
              <w:t>The 11 complementary structural indicators are as follows:</w:t>
            </w:r>
          </w:p>
          <w:p w14:paraId="402D24FB" w14:textId="77777777" w:rsidR="006F665E" w:rsidRPr="006F665E" w:rsidRDefault="006F665E" w:rsidP="00DC55E7">
            <w:pPr>
              <w:pStyle w:val="Pa22"/>
              <w:spacing w:before="220" w:after="120"/>
              <w:ind w:left="780" w:right="220" w:hanging="560"/>
              <w:rPr>
                <w:rFonts w:ascii="Times New Roman" w:hAnsi="Times New Roman" w:cs="Times New Roman"/>
                <w:color w:val="000000"/>
                <w:sz w:val="20"/>
                <w:szCs w:val="20"/>
              </w:rPr>
            </w:pPr>
            <w:r w:rsidRPr="006F665E">
              <w:rPr>
                <w:rFonts w:ascii="Times New Roman" w:hAnsi="Times New Roman" w:cs="Times New Roman"/>
                <w:b/>
                <w:bCs/>
                <w:color w:val="221E1F"/>
                <w:sz w:val="20"/>
                <w:szCs w:val="20"/>
              </w:rPr>
              <w:t>ST1.</w:t>
            </w:r>
            <w:r w:rsidRPr="006F665E">
              <w:rPr>
                <w:rFonts w:ascii="Times New Roman" w:hAnsi="Times New Roman" w:cs="Times New Roman"/>
                <w:color w:val="221E1F"/>
                <w:sz w:val="20"/>
                <w:szCs w:val="20"/>
              </w:rPr>
              <w:t xml:space="preserve"> Existence of a dedicated computer for pharmacovigilance activities </w:t>
            </w:r>
          </w:p>
          <w:p w14:paraId="1EF08C26" w14:textId="3DB860E2"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ST2.</w:t>
            </w:r>
            <w:r w:rsidRPr="006F665E">
              <w:rPr>
                <w:rFonts w:ascii="Times New Roman" w:hAnsi="Times New Roman" w:cs="Times New Roman"/>
                <w:color w:val="221E1F"/>
                <w:sz w:val="20"/>
                <w:szCs w:val="20"/>
              </w:rPr>
              <w:t xml:space="preserve"> Existence of a source of data on </w:t>
            </w:r>
            <w:r>
              <w:rPr>
                <w:rFonts w:ascii="Times New Roman" w:hAnsi="Times New Roman" w:cs="Times New Roman"/>
                <w:color w:val="221E1F"/>
                <w:sz w:val="20"/>
                <w:szCs w:val="20"/>
              </w:rPr>
              <w:t xml:space="preserve">the </w:t>
            </w:r>
            <w:r w:rsidRPr="006F665E">
              <w:rPr>
                <w:rFonts w:ascii="Times New Roman" w:hAnsi="Times New Roman" w:cs="Times New Roman"/>
                <w:color w:val="221E1F"/>
                <w:sz w:val="20"/>
                <w:szCs w:val="20"/>
              </w:rPr>
              <w:t xml:space="preserve">consumption and prescription of medicines </w:t>
            </w:r>
          </w:p>
          <w:p w14:paraId="0D3D54EA"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ST3.</w:t>
            </w:r>
            <w:r w:rsidRPr="006F665E">
              <w:rPr>
                <w:rFonts w:ascii="Times New Roman" w:hAnsi="Times New Roman" w:cs="Times New Roman"/>
                <w:color w:val="221E1F"/>
                <w:sz w:val="20"/>
                <w:szCs w:val="20"/>
              </w:rPr>
              <w:t xml:space="preserve"> Existence of functioning and accessible communication facilities in the pharmacovigilance </w:t>
            </w:r>
            <w:proofErr w:type="spellStart"/>
            <w:r w:rsidRPr="006F665E">
              <w:rPr>
                <w:rFonts w:ascii="Times New Roman" w:hAnsi="Times New Roman" w:cs="Times New Roman"/>
                <w:color w:val="221E1F"/>
                <w:sz w:val="20"/>
                <w:szCs w:val="20"/>
              </w:rPr>
              <w:t>centre</w:t>
            </w:r>
            <w:proofErr w:type="spellEnd"/>
            <w:r w:rsidRPr="006F665E">
              <w:rPr>
                <w:rFonts w:ascii="Times New Roman" w:hAnsi="Times New Roman" w:cs="Times New Roman"/>
                <w:color w:val="221E1F"/>
                <w:sz w:val="20"/>
                <w:szCs w:val="20"/>
              </w:rPr>
              <w:t xml:space="preserve"> </w:t>
            </w:r>
          </w:p>
          <w:p w14:paraId="04EF56F3"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ST4.</w:t>
            </w:r>
            <w:r w:rsidRPr="006F665E">
              <w:rPr>
                <w:rFonts w:ascii="Times New Roman" w:hAnsi="Times New Roman" w:cs="Times New Roman"/>
                <w:color w:val="221E1F"/>
                <w:sz w:val="20"/>
                <w:szCs w:val="20"/>
              </w:rPr>
              <w:t xml:space="preserve"> Existence of a library or other reference source for drug safety information </w:t>
            </w:r>
          </w:p>
          <w:p w14:paraId="6CE755C2"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ST5.</w:t>
            </w:r>
            <w:r w:rsidRPr="006F665E">
              <w:rPr>
                <w:rFonts w:ascii="Times New Roman" w:hAnsi="Times New Roman" w:cs="Times New Roman"/>
                <w:color w:val="221E1F"/>
                <w:sz w:val="20"/>
                <w:szCs w:val="20"/>
              </w:rPr>
              <w:t xml:space="preserve"> Existence of a computerized case-report management system </w:t>
            </w:r>
          </w:p>
          <w:p w14:paraId="01D1D723"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ST6.</w:t>
            </w:r>
            <w:r w:rsidRPr="006F665E">
              <w:rPr>
                <w:rFonts w:ascii="Times New Roman" w:hAnsi="Times New Roman" w:cs="Times New Roman"/>
                <w:color w:val="221E1F"/>
                <w:sz w:val="20"/>
                <w:szCs w:val="20"/>
              </w:rPr>
              <w:t xml:space="preserve"> Existence of a </w:t>
            </w:r>
            <w:proofErr w:type="spellStart"/>
            <w:r w:rsidRPr="006F665E">
              <w:rPr>
                <w:rFonts w:ascii="Times New Roman" w:hAnsi="Times New Roman" w:cs="Times New Roman"/>
                <w:color w:val="221E1F"/>
                <w:sz w:val="20"/>
                <w:szCs w:val="20"/>
              </w:rPr>
              <w:t>programme</w:t>
            </w:r>
            <w:proofErr w:type="spellEnd"/>
            <w:r w:rsidRPr="006F665E">
              <w:rPr>
                <w:rFonts w:ascii="Times New Roman" w:hAnsi="Times New Roman" w:cs="Times New Roman"/>
                <w:color w:val="221E1F"/>
                <w:sz w:val="20"/>
                <w:szCs w:val="20"/>
              </w:rPr>
              <w:t xml:space="preserve"> (including a laboratory) for monitoring the quality of pharmaceutical products </w:t>
            </w:r>
          </w:p>
          <w:p w14:paraId="6A36FD4E"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i/>
                <w:iCs/>
                <w:color w:val="221E1F"/>
                <w:sz w:val="20"/>
                <w:szCs w:val="20"/>
              </w:rPr>
              <w:t xml:space="preserve">Subset indicator </w:t>
            </w:r>
            <w:r w:rsidRPr="006F665E">
              <w:rPr>
                <w:rFonts w:ascii="Times New Roman" w:hAnsi="Times New Roman" w:cs="Times New Roman"/>
                <w:b/>
                <w:bCs/>
                <w:color w:val="221E1F"/>
                <w:sz w:val="20"/>
                <w:szCs w:val="20"/>
              </w:rPr>
              <w:t>ST6a:</w:t>
            </w:r>
            <w:r w:rsidRPr="006F665E">
              <w:rPr>
                <w:rFonts w:ascii="Times New Roman" w:hAnsi="Times New Roman" w:cs="Times New Roman"/>
                <w:color w:val="221E1F"/>
                <w:sz w:val="20"/>
                <w:szCs w:val="20"/>
              </w:rPr>
              <w:t xml:space="preserve"> The </w:t>
            </w:r>
            <w:proofErr w:type="spellStart"/>
            <w:r w:rsidRPr="006F665E">
              <w:rPr>
                <w:rFonts w:ascii="Times New Roman" w:hAnsi="Times New Roman" w:cs="Times New Roman"/>
                <w:color w:val="221E1F"/>
                <w:sz w:val="20"/>
                <w:szCs w:val="20"/>
              </w:rPr>
              <w:t>programme</w:t>
            </w:r>
            <w:proofErr w:type="spellEnd"/>
            <w:r w:rsidRPr="006F665E">
              <w:rPr>
                <w:rFonts w:ascii="Times New Roman" w:hAnsi="Times New Roman" w:cs="Times New Roman"/>
                <w:color w:val="221E1F"/>
                <w:sz w:val="20"/>
                <w:szCs w:val="20"/>
              </w:rPr>
              <w:t xml:space="preserve"> (including a laboratory) for monitoring the quality of pharmaceutical products collaborates with the pharmacovigilance </w:t>
            </w:r>
            <w:proofErr w:type="spellStart"/>
            <w:r w:rsidRPr="006F665E">
              <w:rPr>
                <w:rFonts w:ascii="Times New Roman" w:hAnsi="Times New Roman" w:cs="Times New Roman"/>
                <w:color w:val="221E1F"/>
                <w:sz w:val="20"/>
                <w:szCs w:val="20"/>
              </w:rPr>
              <w:t>programme</w:t>
            </w:r>
            <w:proofErr w:type="spellEnd"/>
            <w:r w:rsidRPr="006F665E">
              <w:rPr>
                <w:rFonts w:ascii="Times New Roman" w:hAnsi="Times New Roman" w:cs="Times New Roman"/>
                <w:color w:val="221E1F"/>
                <w:sz w:val="20"/>
                <w:szCs w:val="20"/>
              </w:rPr>
              <w:t xml:space="preserve"> </w:t>
            </w:r>
          </w:p>
          <w:p w14:paraId="5AA07DE4"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ST7.</w:t>
            </w:r>
            <w:r w:rsidRPr="006F665E">
              <w:rPr>
                <w:rFonts w:ascii="Times New Roman" w:hAnsi="Times New Roman" w:cs="Times New Roman"/>
                <w:color w:val="221E1F"/>
                <w:sz w:val="20"/>
                <w:szCs w:val="20"/>
              </w:rPr>
              <w:t xml:space="preserve"> Existence of an essential medicines list which is in use </w:t>
            </w:r>
          </w:p>
          <w:p w14:paraId="5A0A7B87"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ST8</w:t>
            </w:r>
            <w:r w:rsidRPr="006F665E">
              <w:rPr>
                <w:rFonts w:ascii="Times New Roman" w:hAnsi="Times New Roman" w:cs="Times New Roman"/>
                <w:color w:val="221E1F"/>
                <w:sz w:val="20"/>
                <w:szCs w:val="20"/>
              </w:rPr>
              <w:t xml:space="preserve">. Systematic consideration of pharmacovigilance data when developing the main standard treatment guidelines </w:t>
            </w:r>
          </w:p>
          <w:p w14:paraId="5F31D2DE"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ST9.</w:t>
            </w:r>
            <w:r w:rsidRPr="006F665E">
              <w:rPr>
                <w:rFonts w:ascii="Times New Roman" w:hAnsi="Times New Roman" w:cs="Times New Roman"/>
                <w:color w:val="221E1F"/>
                <w:sz w:val="20"/>
                <w:szCs w:val="20"/>
              </w:rPr>
              <w:t xml:space="preserve"> The pharmacovigilance </w:t>
            </w:r>
            <w:proofErr w:type="spellStart"/>
            <w:r w:rsidRPr="006F665E">
              <w:rPr>
                <w:rFonts w:ascii="Times New Roman" w:hAnsi="Times New Roman" w:cs="Times New Roman"/>
                <w:color w:val="221E1F"/>
                <w:sz w:val="20"/>
                <w:szCs w:val="20"/>
              </w:rPr>
              <w:t>centre</w:t>
            </w:r>
            <w:proofErr w:type="spellEnd"/>
            <w:r w:rsidRPr="006F665E">
              <w:rPr>
                <w:rFonts w:ascii="Times New Roman" w:hAnsi="Times New Roman" w:cs="Times New Roman"/>
                <w:color w:val="221E1F"/>
                <w:sz w:val="20"/>
                <w:szCs w:val="20"/>
              </w:rPr>
              <w:t xml:space="preserve"> organizes training courses </w:t>
            </w:r>
          </w:p>
          <w:p w14:paraId="15736CE9" w14:textId="77777777" w:rsidR="006F665E" w:rsidRPr="006F665E" w:rsidRDefault="006F665E" w:rsidP="00DC55E7">
            <w:pPr>
              <w:pStyle w:val="Pa24"/>
              <w:spacing w:after="120"/>
              <w:ind w:left="1360" w:right="220" w:hanging="560"/>
              <w:rPr>
                <w:rFonts w:ascii="Times New Roman" w:hAnsi="Times New Roman" w:cs="Times New Roman"/>
                <w:color w:val="221E1F"/>
                <w:sz w:val="20"/>
                <w:szCs w:val="20"/>
              </w:rPr>
            </w:pPr>
            <w:r w:rsidRPr="00B73943">
              <w:rPr>
                <w:rFonts w:ascii="Times New Roman" w:hAnsi="Times New Roman" w:cs="Times New Roman"/>
                <w:b/>
                <w:bCs/>
                <w:color w:val="221E1F"/>
                <w:sz w:val="20"/>
                <w:szCs w:val="20"/>
              </w:rPr>
              <w:t>ST9a:</w:t>
            </w:r>
            <w:r w:rsidRPr="006F665E">
              <w:rPr>
                <w:rFonts w:ascii="Times New Roman" w:hAnsi="Times New Roman" w:cs="Times New Roman"/>
                <w:color w:val="221E1F"/>
                <w:sz w:val="20"/>
                <w:szCs w:val="20"/>
              </w:rPr>
              <w:t xml:space="preserve"> for health professionals; </w:t>
            </w:r>
          </w:p>
          <w:p w14:paraId="0825ED75" w14:textId="77777777" w:rsidR="006F665E" w:rsidRPr="006F665E" w:rsidRDefault="006F665E" w:rsidP="00DC55E7">
            <w:pPr>
              <w:pStyle w:val="Pa24"/>
              <w:spacing w:after="120"/>
              <w:ind w:left="1360" w:right="220" w:hanging="560"/>
              <w:rPr>
                <w:rFonts w:ascii="Times New Roman" w:hAnsi="Times New Roman" w:cs="Times New Roman"/>
                <w:color w:val="221E1F"/>
                <w:sz w:val="20"/>
                <w:szCs w:val="20"/>
              </w:rPr>
            </w:pPr>
            <w:r w:rsidRPr="00B73943">
              <w:rPr>
                <w:rFonts w:ascii="Times New Roman" w:hAnsi="Times New Roman" w:cs="Times New Roman"/>
                <w:b/>
                <w:bCs/>
                <w:color w:val="221E1F"/>
                <w:sz w:val="20"/>
                <w:szCs w:val="20"/>
              </w:rPr>
              <w:t>ST9b:</w:t>
            </w:r>
            <w:r w:rsidRPr="006F665E">
              <w:rPr>
                <w:rFonts w:ascii="Times New Roman" w:hAnsi="Times New Roman" w:cs="Times New Roman"/>
                <w:color w:val="221E1F"/>
                <w:sz w:val="20"/>
                <w:szCs w:val="20"/>
              </w:rPr>
              <w:t xml:space="preserve"> for the general public </w:t>
            </w:r>
          </w:p>
          <w:p w14:paraId="32134792" w14:textId="77777777" w:rsidR="006F665E" w:rsidRPr="006F665E" w:rsidRDefault="006F665E" w:rsidP="00DC55E7">
            <w:pPr>
              <w:pStyle w:val="Pa23"/>
              <w:spacing w:after="120"/>
              <w:ind w:left="780" w:right="220" w:hanging="560"/>
              <w:rPr>
                <w:rFonts w:ascii="Times New Roman" w:hAnsi="Times New Roman" w:cs="Times New Roman"/>
                <w:color w:val="221E1F"/>
                <w:sz w:val="20"/>
                <w:szCs w:val="20"/>
              </w:rPr>
            </w:pPr>
            <w:r w:rsidRPr="006F665E">
              <w:rPr>
                <w:rFonts w:ascii="Times New Roman" w:hAnsi="Times New Roman" w:cs="Times New Roman"/>
                <w:b/>
                <w:bCs/>
                <w:color w:val="221E1F"/>
                <w:sz w:val="20"/>
                <w:szCs w:val="20"/>
              </w:rPr>
              <w:t>ST10</w:t>
            </w:r>
            <w:r w:rsidRPr="006F665E">
              <w:rPr>
                <w:rFonts w:ascii="Times New Roman" w:hAnsi="Times New Roman" w:cs="Times New Roman"/>
                <w:color w:val="221E1F"/>
                <w:sz w:val="20"/>
                <w:szCs w:val="20"/>
              </w:rPr>
              <w:t xml:space="preserve">. Availability of web-based pharmacovigilance training tools </w:t>
            </w:r>
          </w:p>
          <w:p w14:paraId="28AD6A02" w14:textId="77777777" w:rsidR="006F665E" w:rsidRPr="006F665E" w:rsidRDefault="006F665E" w:rsidP="00DC55E7">
            <w:pPr>
              <w:pStyle w:val="Pa24"/>
              <w:spacing w:after="120"/>
              <w:ind w:left="1360" w:right="220" w:hanging="560"/>
              <w:rPr>
                <w:rFonts w:ascii="Times New Roman" w:hAnsi="Times New Roman" w:cs="Times New Roman"/>
                <w:color w:val="221E1F"/>
                <w:sz w:val="20"/>
                <w:szCs w:val="20"/>
              </w:rPr>
            </w:pPr>
            <w:r w:rsidRPr="00B73943">
              <w:rPr>
                <w:rFonts w:ascii="Times New Roman" w:hAnsi="Times New Roman" w:cs="Times New Roman"/>
                <w:b/>
                <w:bCs/>
                <w:color w:val="221E1F"/>
                <w:sz w:val="20"/>
                <w:szCs w:val="20"/>
              </w:rPr>
              <w:t>ST10a:</w:t>
            </w:r>
            <w:r w:rsidRPr="006F665E">
              <w:rPr>
                <w:rFonts w:ascii="Times New Roman" w:hAnsi="Times New Roman" w:cs="Times New Roman"/>
                <w:color w:val="221E1F"/>
                <w:sz w:val="20"/>
                <w:szCs w:val="20"/>
              </w:rPr>
              <w:t xml:space="preserve"> for health professionals; </w:t>
            </w:r>
          </w:p>
          <w:p w14:paraId="1FC88A86" w14:textId="77777777" w:rsidR="006F665E" w:rsidRPr="006F665E" w:rsidRDefault="006F665E" w:rsidP="00DC55E7">
            <w:pPr>
              <w:pStyle w:val="Pa24"/>
              <w:spacing w:after="120"/>
              <w:ind w:left="1360" w:right="220" w:hanging="560"/>
              <w:rPr>
                <w:rFonts w:ascii="Times New Roman" w:hAnsi="Times New Roman" w:cs="Times New Roman"/>
                <w:color w:val="221E1F"/>
                <w:sz w:val="20"/>
                <w:szCs w:val="20"/>
              </w:rPr>
            </w:pPr>
            <w:r w:rsidRPr="00B73943">
              <w:rPr>
                <w:rFonts w:ascii="Times New Roman" w:hAnsi="Times New Roman" w:cs="Times New Roman"/>
                <w:b/>
                <w:bCs/>
                <w:color w:val="221E1F"/>
                <w:sz w:val="20"/>
                <w:szCs w:val="20"/>
              </w:rPr>
              <w:t>ST10b:</w:t>
            </w:r>
            <w:r w:rsidRPr="006F665E">
              <w:rPr>
                <w:rFonts w:ascii="Times New Roman" w:hAnsi="Times New Roman" w:cs="Times New Roman"/>
                <w:color w:val="221E1F"/>
                <w:sz w:val="20"/>
                <w:szCs w:val="20"/>
              </w:rPr>
              <w:t xml:space="preserve"> for the general public </w:t>
            </w:r>
          </w:p>
          <w:p w14:paraId="6721A8A9" w14:textId="6B76E834" w:rsidR="006F665E" w:rsidRDefault="006F665E" w:rsidP="00DC55E7">
            <w:pPr>
              <w:spacing w:after="120" w:line="360" w:lineRule="auto"/>
              <w:ind w:left="791" w:hanging="540"/>
              <w:jc w:val="both"/>
              <w:rPr>
                <w:i/>
                <w:iCs/>
                <w:sz w:val="24"/>
                <w:szCs w:val="24"/>
              </w:rPr>
            </w:pPr>
            <w:r w:rsidRPr="006F665E">
              <w:rPr>
                <w:b/>
                <w:bCs/>
                <w:color w:val="221E1F"/>
                <w:sz w:val="20"/>
                <w:szCs w:val="20"/>
              </w:rPr>
              <w:t>ST11</w:t>
            </w:r>
            <w:r w:rsidRPr="006F665E">
              <w:rPr>
                <w:color w:val="221E1F"/>
                <w:sz w:val="20"/>
                <w:szCs w:val="20"/>
              </w:rPr>
              <w:t>. Existence of requirements mandating market authorization holders to submit periodic safety update reports</w:t>
            </w:r>
          </w:p>
        </w:tc>
      </w:tr>
    </w:tbl>
    <w:p w14:paraId="603DEB8F" w14:textId="77777777" w:rsidR="00E9038A" w:rsidRDefault="00E9038A" w:rsidP="00E9038A">
      <w:pPr>
        <w:spacing w:after="120" w:line="360" w:lineRule="auto"/>
        <w:jc w:val="both"/>
        <w:rPr>
          <w:i/>
          <w:iCs/>
          <w:color w:val="000000"/>
          <w:sz w:val="24"/>
          <w:szCs w:val="24"/>
        </w:rPr>
      </w:pPr>
    </w:p>
    <w:p w14:paraId="40146CE2" w14:textId="3FB87B30" w:rsidR="00E9038A" w:rsidRDefault="00E9038A" w:rsidP="00E9038A">
      <w:pPr>
        <w:spacing w:after="120" w:line="360" w:lineRule="auto"/>
        <w:jc w:val="both"/>
        <w:rPr>
          <w:i/>
          <w:iCs/>
          <w:color w:val="000000"/>
          <w:sz w:val="24"/>
          <w:szCs w:val="24"/>
        </w:rPr>
      </w:pPr>
      <w:r w:rsidRPr="009F5B02">
        <w:rPr>
          <w:i/>
          <w:iCs/>
          <w:color w:val="000000"/>
          <w:sz w:val="24"/>
          <w:szCs w:val="24"/>
        </w:rPr>
        <w:lastRenderedPageBreak/>
        <w:t>11.</w:t>
      </w:r>
      <w:r w:rsidR="003F5002">
        <w:rPr>
          <w:i/>
          <w:iCs/>
          <w:color w:val="000000"/>
          <w:sz w:val="24"/>
          <w:szCs w:val="24"/>
        </w:rPr>
        <w:t>5</w:t>
      </w:r>
      <w:r w:rsidRPr="009F5B02">
        <w:rPr>
          <w:i/>
          <w:iCs/>
          <w:color w:val="000000"/>
          <w:sz w:val="24"/>
          <w:szCs w:val="24"/>
        </w:rPr>
        <w:t>.</w:t>
      </w:r>
      <w:r>
        <w:rPr>
          <w:i/>
          <w:iCs/>
          <w:color w:val="000000"/>
          <w:sz w:val="24"/>
          <w:szCs w:val="24"/>
        </w:rPr>
        <w:t>2</w:t>
      </w:r>
      <w:r w:rsidRPr="00E9038A">
        <w:rPr>
          <w:i/>
          <w:iCs/>
          <w:color w:val="000000"/>
          <w:sz w:val="24"/>
          <w:szCs w:val="24"/>
        </w:rPr>
        <w:t xml:space="preserve"> Complementary process indicators</w:t>
      </w:r>
    </w:p>
    <w:tbl>
      <w:tblPr>
        <w:tblStyle w:val="TableGrid"/>
        <w:tblW w:w="0" w:type="auto"/>
        <w:tblLook w:val="04A0" w:firstRow="1" w:lastRow="0" w:firstColumn="1" w:lastColumn="0" w:noHBand="0" w:noVBand="1"/>
      </w:tblPr>
      <w:tblGrid>
        <w:gridCol w:w="9350"/>
      </w:tblGrid>
      <w:tr w:rsidR="00E9038A" w14:paraId="027B468E" w14:textId="77777777" w:rsidTr="00DC55E7">
        <w:tc>
          <w:tcPr>
            <w:tcW w:w="9350" w:type="dxa"/>
            <w:shd w:val="clear" w:color="auto" w:fill="D9E2F3" w:themeFill="accent1" w:themeFillTint="33"/>
          </w:tcPr>
          <w:p w14:paraId="44493587" w14:textId="77777777" w:rsidR="00E9038A" w:rsidRPr="00DC55E7" w:rsidRDefault="00DC55E7" w:rsidP="00DC55E7">
            <w:pPr>
              <w:spacing w:after="120" w:line="360" w:lineRule="auto"/>
              <w:jc w:val="both"/>
              <w:rPr>
                <w:color w:val="221E1F"/>
                <w:sz w:val="20"/>
                <w:szCs w:val="20"/>
              </w:rPr>
            </w:pPr>
            <w:r w:rsidRPr="00DC55E7">
              <w:rPr>
                <w:color w:val="221E1F"/>
                <w:sz w:val="20"/>
                <w:szCs w:val="20"/>
              </w:rPr>
              <w:t>The 13 complementary process indicators are as follows:</w:t>
            </w:r>
          </w:p>
          <w:p w14:paraId="1BDE68F4" w14:textId="0F545C8F" w:rsidR="00DC55E7" w:rsidRPr="00DC55E7" w:rsidRDefault="00DC55E7" w:rsidP="00DC55E7">
            <w:pPr>
              <w:pStyle w:val="Pa22"/>
              <w:spacing w:before="220"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P1.</w:t>
            </w:r>
            <w:r w:rsidRPr="00DC55E7">
              <w:rPr>
                <w:rFonts w:ascii="Times New Roman" w:hAnsi="Times New Roman" w:cs="Times New Roman"/>
                <w:color w:val="221E1F"/>
                <w:sz w:val="20"/>
                <w:szCs w:val="20"/>
              </w:rPr>
              <w:t xml:space="preserve"> Percentage of healthcare facilities with a functional pharmacovigilance unit (i.e. submitting ≥ 10 reports to the pharmacovigilance </w:t>
            </w:r>
            <w:proofErr w:type="spellStart"/>
            <w:r w:rsidRPr="00DC55E7">
              <w:rPr>
                <w:rFonts w:ascii="Times New Roman" w:hAnsi="Times New Roman" w:cs="Times New Roman"/>
                <w:color w:val="221E1F"/>
                <w:sz w:val="20"/>
                <w:szCs w:val="20"/>
              </w:rPr>
              <w:t>centre</w:t>
            </w:r>
            <w:proofErr w:type="spellEnd"/>
            <w:r w:rsidRPr="00DC55E7">
              <w:rPr>
                <w:rFonts w:ascii="Times New Roman" w:hAnsi="Times New Roman" w:cs="Times New Roman"/>
                <w:color w:val="221E1F"/>
                <w:sz w:val="20"/>
                <w:szCs w:val="20"/>
              </w:rPr>
              <w:t xml:space="preserve">) in the previous year </w:t>
            </w:r>
          </w:p>
          <w:p w14:paraId="3E6D085F"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P2</w:t>
            </w:r>
            <w:r w:rsidRPr="00DC55E7">
              <w:rPr>
                <w:rFonts w:ascii="Times New Roman" w:hAnsi="Times New Roman" w:cs="Times New Roman"/>
                <w:color w:val="221E1F"/>
                <w:sz w:val="20"/>
                <w:szCs w:val="20"/>
              </w:rPr>
              <w:t>. Percentage of total reports sent in the previous year by the different stakeholders includes</w:t>
            </w:r>
          </w:p>
          <w:p w14:paraId="77E6F309"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EA6C7E">
              <w:rPr>
                <w:rFonts w:ascii="Times New Roman" w:hAnsi="Times New Roman" w:cs="Times New Roman"/>
                <w:b/>
                <w:bCs/>
                <w:color w:val="221E1F"/>
                <w:sz w:val="20"/>
                <w:szCs w:val="20"/>
              </w:rPr>
              <w:t>P2a:</w:t>
            </w:r>
            <w:r w:rsidRPr="00DC55E7">
              <w:rPr>
                <w:rFonts w:ascii="Times New Roman" w:hAnsi="Times New Roman" w:cs="Times New Roman"/>
                <w:color w:val="221E1F"/>
                <w:sz w:val="20"/>
                <w:szCs w:val="20"/>
              </w:rPr>
              <w:t xml:space="preserve"> percentage of total reports sent by medical doctors;</w:t>
            </w:r>
          </w:p>
          <w:p w14:paraId="720687E5"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EA6C7E">
              <w:rPr>
                <w:rFonts w:ascii="Times New Roman" w:hAnsi="Times New Roman" w:cs="Times New Roman"/>
                <w:b/>
                <w:bCs/>
                <w:color w:val="221E1F"/>
                <w:sz w:val="20"/>
                <w:szCs w:val="20"/>
              </w:rPr>
              <w:t>P2b:</w:t>
            </w:r>
            <w:r w:rsidRPr="00DC55E7">
              <w:rPr>
                <w:rFonts w:ascii="Times New Roman" w:hAnsi="Times New Roman" w:cs="Times New Roman"/>
                <w:color w:val="221E1F"/>
                <w:sz w:val="20"/>
                <w:szCs w:val="20"/>
              </w:rPr>
              <w:t xml:space="preserve"> by dentists;</w:t>
            </w:r>
          </w:p>
          <w:p w14:paraId="7F983E1E"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EA6C7E">
              <w:rPr>
                <w:rFonts w:ascii="Times New Roman" w:hAnsi="Times New Roman" w:cs="Times New Roman"/>
                <w:b/>
                <w:bCs/>
                <w:color w:val="221E1F"/>
                <w:sz w:val="20"/>
                <w:szCs w:val="20"/>
              </w:rPr>
              <w:t>P2c:</w:t>
            </w:r>
            <w:r w:rsidRPr="00DC55E7">
              <w:rPr>
                <w:rFonts w:ascii="Times New Roman" w:hAnsi="Times New Roman" w:cs="Times New Roman"/>
                <w:color w:val="221E1F"/>
                <w:sz w:val="20"/>
                <w:szCs w:val="20"/>
              </w:rPr>
              <w:t xml:space="preserve"> by pharmacists;</w:t>
            </w:r>
          </w:p>
          <w:p w14:paraId="0E9414B0"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EA6C7E">
              <w:rPr>
                <w:rFonts w:ascii="Times New Roman" w:hAnsi="Times New Roman" w:cs="Times New Roman"/>
                <w:b/>
                <w:bCs/>
                <w:color w:val="221E1F"/>
                <w:sz w:val="20"/>
                <w:szCs w:val="20"/>
              </w:rPr>
              <w:t>P2d:</w:t>
            </w:r>
            <w:r w:rsidRPr="00DC55E7">
              <w:rPr>
                <w:rFonts w:ascii="Times New Roman" w:hAnsi="Times New Roman" w:cs="Times New Roman"/>
                <w:color w:val="221E1F"/>
                <w:sz w:val="20"/>
                <w:szCs w:val="20"/>
              </w:rPr>
              <w:t xml:space="preserve"> by nurses or midwives;</w:t>
            </w:r>
          </w:p>
          <w:p w14:paraId="61EA6D4A"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EA6C7E">
              <w:rPr>
                <w:rFonts w:ascii="Times New Roman" w:hAnsi="Times New Roman" w:cs="Times New Roman"/>
                <w:b/>
                <w:bCs/>
                <w:color w:val="221E1F"/>
                <w:sz w:val="20"/>
                <w:szCs w:val="20"/>
              </w:rPr>
              <w:t>P2e:</w:t>
            </w:r>
            <w:r w:rsidRPr="00DC55E7">
              <w:rPr>
                <w:rFonts w:ascii="Times New Roman" w:hAnsi="Times New Roman" w:cs="Times New Roman"/>
                <w:color w:val="221E1F"/>
                <w:sz w:val="20"/>
                <w:szCs w:val="20"/>
              </w:rPr>
              <w:t xml:space="preserve"> by the general public;</w:t>
            </w:r>
          </w:p>
          <w:p w14:paraId="796FA96A"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EA6C7E">
              <w:rPr>
                <w:rFonts w:ascii="Times New Roman" w:hAnsi="Times New Roman" w:cs="Times New Roman"/>
                <w:b/>
                <w:bCs/>
                <w:color w:val="221E1F"/>
                <w:sz w:val="20"/>
                <w:szCs w:val="20"/>
              </w:rPr>
              <w:t>P2f:</w:t>
            </w:r>
            <w:r w:rsidRPr="00DC55E7">
              <w:rPr>
                <w:rFonts w:ascii="Times New Roman" w:hAnsi="Times New Roman" w:cs="Times New Roman"/>
                <w:color w:val="221E1F"/>
                <w:sz w:val="20"/>
                <w:szCs w:val="20"/>
              </w:rPr>
              <w:t xml:space="preserve"> by manufacturers</w:t>
            </w:r>
          </w:p>
          <w:p w14:paraId="4BC3392C"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P3.</w:t>
            </w:r>
            <w:r w:rsidRPr="00DC55E7">
              <w:rPr>
                <w:rFonts w:ascii="Times New Roman" w:hAnsi="Times New Roman" w:cs="Times New Roman"/>
                <w:color w:val="221E1F"/>
                <w:sz w:val="20"/>
                <w:szCs w:val="20"/>
              </w:rPr>
              <w:t xml:space="preserve"> Total number of reports received per million population per year</w:t>
            </w:r>
          </w:p>
          <w:p w14:paraId="1B753BF5"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P4.</w:t>
            </w:r>
            <w:r w:rsidRPr="00DC55E7">
              <w:rPr>
                <w:rFonts w:ascii="Times New Roman" w:hAnsi="Times New Roman" w:cs="Times New Roman"/>
                <w:color w:val="221E1F"/>
                <w:sz w:val="20"/>
                <w:szCs w:val="20"/>
              </w:rPr>
              <w:t xml:space="preserve"> Average number of reports per number of health-care providers per year includes</w:t>
            </w:r>
          </w:p>
          <w:p w14:paraId="7B89D9DA"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P4a:</w:t>
            </w:r>
            <w:r w:rsidRPr="00DC55E7">
              <w:rPr>
                <w:rFonts w:ascii="Times New Roman" w:hAnsi="Times New Roman" w:cs="Times New Roman"/>
                <w:color w:val="221E1F"/>
                <w:sz w:val="20"/>
                <w:szCs w:val="20"/>
              </w:rPr>
              <w:t xml:space="preserve"> by medical doctors;</w:t>
            </w:r>
          </w:p>
          <w:p w14:paraId="727774B5"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P4b:</w:t>
            </w:r>
            <w:r w:rsidRPr="00DC55E7">
              <w:rPr>
                <w:rFonts w:ascii="Times New Roman" w:hAnsi="Times New Roman" w:cs="Times New Roman"/>
                <w:color w:val="221E1F"/>
                <w:sz w:val="20"/>
                <w:szCs w:val="20"/>
              </w:rPr>
              <w:t xml:space="preserve"> by dentists;</w:t>
            </w:r>
          </w:p>
          <w:p w14:paraId="6BC52EF9"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P4c:</w:t>
            </w:r>
            <w:r w:rsidRPr="00DC55E7">
              <w:rPr>
                <w:rFonts w:ascii="Times New Roman" w:hAnsi="Times New Roman" w:cs="Times New Roman"/>
                <w:color w:val="221E1F"/>
                <w:sz w:val="20"/>
                <w:szCs w:val="20"/>
              </w:rPr>
              <w:t xml:space="preserve"> by pharmacists;</w:t>
            </w:r>
          </w:p>
          <w:p w14:paraId="06A803F7"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P4d:</w:t>
            </w:r>
            <w:r w:rsidRPr="00DC55E7">
              <w:rPr>
                <w:rFonts w:ascii="Times New Roman" w:hAnsi="Times New Roman" w:cs="Times New Roman"/>
                <w:color w:val="221E1F"/>
                <w:sz w:val="20"/>
                <w:szCs w:val="20"/>
              </w:rPr>
              <w:t xml:space="preserve"> by nurses or midwives</w:t>
            </w:r>
          </w:p>
          <w:p w14:paraId="76ACD7CB"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P5.</w:t>
            </w:r>
            <w:r w:rsidRPr="00DC55E7">
              <w:rPr>
                <w:rFonts w:ascii="Times New Roman" w:hAnsi="Times New Roman" w:cs="Times New Roman"/>
                <w:color w:val="221E1F"/>
                <w:sz w:val="20"/>
                <w:szCs w:val="20"/>
              </w:rPr>
              <w:t xml:space="preserve"> Percentage of health-care providers aware of and knowledgeable about ADRs per facility</w:t>
            </w:r>
          </w:p>
          <w:p w14:paraId="5FDF885F"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P6</w:t>
            </w:r>
            <w:r w:rsidRPr="00DC55E7">
              <w:rPr>
                <w:rFonts w:ascii="Times New Roman" w:hAnsi="Times New Roman" w:cs="Times New Roman"/>
                <w:color w:val="221E1F"/>
                <w:sz w:val="20"/>
                <w:szCs w:val="20"/>
              </w:rPr>
              <w:t>. Percentage of patients leaving a health facility aware of ADRs in general</w:t>
            </w:r>
          </w:p>
          <w:p w14:paraId="1D7F87A5"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P7.</w:t>
            </w:r>
            <w:r w:rsidRPr="00DC55E7">
              <w:rPr>
                <w:rFonts w:ascii="Times New Roman" w:hAnsi="Times New Roman" w:cs="Times New Roman"/>
                <w:color w:val="221E1F"/>
                <w:sz w:val="20"/>
                <w:szCs w:val="20"/>
              </w:rPr>
              <w:t xml:space="preserve"> Number of face-to-face training sessions in pharmacovigilance organized in the previous year</w:t>
            </w:r>
          </w:p>
          <w:p w14:paraId="40838455"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P7a:</w:t>
            </w:r>
            <w:r w:rsidRPr="00DC55E7">
              <w:rPr>
                <w:rFonts w:ascii="Times New Roman" w:hAnsi="Times New Roman" w:cs="Times New Roman"/>
                <w:color w:val="221E1F"/>
                <w:sz w:val="20"/>
                <w:szCs w:val="20"/>
              </w:rPr>
              <w:t xml:space="preserve"> for health professionals;</w:t>
            </w:r>
          </w:p>
          <w:p w14:paraId="10787DFC"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P7b:</w:t>
            </w:r>
            <w:r w:rsidRPr="00DC55E7">
              <w:rPr>
                <w:rFonts w:ascii="Times New Roman" w:hAnsi="Times New Roman" w:cs="Times New Roman"/>
                <w:color w:val="221E1F"/>
                <w:sz w:val="20"/>
                <w:szCs w:val="20"/>
              </w:rPr>
              <w:t xml:space="preserve"> for the general public</w:t>
            </w:r>
          </w:p>
          <w:p w14:paraId="7985DC7F"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P8.</w:t>
            </w:r>
            <w:r w:rsidRPr="00DC55E7">
              <w:rPr>
                <w:rFonts w:ascii="Times New Roman" w:hAnsi="Times New Roman" w:cs="Times New Roman"/>
                <w:color w:val="221E1F"/>
                <w:sz w:val="20"/>
                <w:szCs w:val="20"/>
              </w:rPr>
              <w:t xml:space="preserve"> Number of individuals who received face-to-face training in pharmacovigilance in the previous year</w:t>
            </w:r>
          </w:p>
          <w:p w14:paraId="1F68FDEF"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P8a:</w:t>
            </w:r>
            <w:r w:rsidRPr="00DC55E7">
              <w:rPr>
                <w:rFonts w:ascii="Times New Roman" w:hAnsi="Times New Roman" w:cs="Times New Roman"/>
                <w:color w:val="221E1F"/>
                <w:sz w:val="20"/>
                <w:szCs w:val="20"/>
              </w:rPr>
              <w:t xml:space="preserve"> number of health professionals trained in the previous year;</w:t>
            </w:r>
          </w:p>
          <w:p w14:paraId="19E26ECD" w14:textId="77777777" w:rsidR="00DC55E7" w:rsidRPr="00DC55E7" w:rsidRDefault="00DC55E7" w:rsidP="00DC55E7">
            <w:pPr>
              <w:pStyle w:val="Pa24"/>
              <w:spacing w:after="120"/>
              <w:ind w:left="136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P8b:</w:t>
            </w:r>
            <w:r w:rsidRPr="00DC55E7">
              <w:rPr>
                <w:rFonts w:ascii="Times New Roman" w:hAnsi="Times New Roman" w:cs="Times New Roman"/>
                <w:color w:val="221E1F"/>
                <w:sz w:val="20"/>
                <w:szCs w:val="20"/>
              </w:rPr>
              <w:t xml:space="preserve"> number of individuals from the general public trained in the previous year</w:t>
            </w:r>
          </w:p>
          <w:p w14:paraId="316ACA29" w14:textId="77777777" w:rsidR="00DC55E7" w:rsidRPr="00DC55E7" w:rsidRDefault="00DC55E7" w:rsidP="00DC55E7">
            <w:pPr>
              <w:spacing w:after="120" w:line="360" w:lineRule="auto"/>
              <w:ind w:left="521" w:hanging="270"/>
              <w:jc w:val="both"/>
              <w:rPr>
                <w:color w:val="221E1F"/>
                <w:sz w:val="20"/>
                <w:szCs w:val="20"/>
              </w:rPr>
            </w:pPr>
            <w:r w:rsidRPr="00DC55E7">
              <w:rPr>
                <w:b/>
                <w:bCs/>
                <w:color w:val="221E1F"/>
                <w:sz w:val="20"/>
                <w:szCs w:val="20"/>
              </w:rPr>
              <w:t>P9.</w:t>
            </w:r>
            <w:r w:rsidRPr="00DC55E7">
              <w:rPr>
                <w:color w:val="221E1F"/>
                <w:sz w:val="20"/>
                <w:szCs w:val="20"/>
              </w:rPr>
              <w:t xml:space="preserve"> Total number of national reports for a specific product per volume of sales of that product in the country (product specific) from the industry</w:t>
            </w:r>
          </w:p>
          <w:p w14:paraId="68FD2AB0"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P10.</w:t>
            </w:r>
            <w:r w:rsidRPr="00DC55E7">
              <w:rPr>
                <w:rFonts w:ascii="Times New Roman" w:hAnsi="Times New Roman" w:cs="Times New Roman"/>
                <w:color w:val="221E1F"/>
                <w:sz w:val="20"/>
                <w:szCs w:val="20"/>
              </w:rPr>
              <w:t xml:space="preserve"> Number of registered products with a pharmacovigilance plan and/or a risk management strategy among the marketing authorization holders in the country </w:t>
            </w:r>
          </w:p>
          <w:p w14:paraId="535BA091"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i/>
                <w:iCs/>
                <w:color w:val="221E1F"/>
                <w:sz w:val="20"/>
                <w:szCs w:val="20"/>
              </w:rPr>
              <w:t xml:space="preserve">Subset indicator </w:t>
            </w:r>
            <w:r w:rsidRPr="00DC55E7">
              <w:rPr>
                <w:rFonts w:ascii="Times New Roman" w:hAnsi="Times New Roman" w:cs="Times New Roman"/>
                <w:b/>
                <w:bCs/>
                <w:color w:val="221E1F"/>
                <w:sz w:val="20"/>
                <w:szCs w:val="20"/>
              </w:rPr>
              <w:t>P10a:</w:t>
            </w:r>
            <w:r w:rsidRPr="00DC55E7">
              <w:rPr>
                <w:rFonts w:ascii="Times New Roman" w:hAnsi="Times New Roman" w:cs="Times New Roman"/>
                <w:color w:val="221E1F"/>
                <w:sz w:val="20"/>
                <w:szCs w:val="20"/>
              </w:rPr>
              <w:t xml:space="preserve"> Percentage of registered products with a pharmacovigilance plan and/or a risk management strategy from the market authorization holders in the country </w:t>
            </w:r>
          </w:p>
          <w:p w14:paraId="7D2BB376"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P11.</w:t>
            </w:r>
            <w:r w:rsidRPr="00DC55E7">
              <w:rPr>
                <w:rFonts w:ascii="Times New Roman" w:hAnsi="Times New Roman" w:cs="Times New Roman"/>
                <w:color w:val="221E1F"/>
                <w:sz w:val="20"/>
                <w:szCs w:val="20"/>
              </w:rPr>
              <w:t xml:space="preserve"> Percentage of market authorization holders who submit periodic safety update reports to the regulatory authority as stipulated in the country </w:t>
            </w:r>
          </w:p>
          <w:p w14:paraId="1090BF70"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color w:val="221E1F"/>
                <w:sz w:val="20"/>
                <w:szCs w:val="20"/>
              </w:rPr>
              <w:t>P12</w:t>
            </w:r>
            <w:r w:rsidRPr="00DC55E7">
              <w:rPr>
                <w:rFonts w:ascii="Times New Roman" w:hAnsi="Times New Roman" w:cs="Times New Roman"/>
                <w:color w:val="221E1F"/>
                <w:sz w:val="20"/>
                <w:szCs w:val="20"/>
              </w:rPr>
              <w:t xml:space="preserve">. Number of products voluntarily withdrawn by market authorization holders because of safety concerns in the previous year </w:t>
            </w:r>
          </w:p>
          <w:p w14:paraId="1C0CF20C" w14:textId="77777777" w:rsidR="00DC55E7" w:rsidRPr="00DC55E7" w:rsidRDefault="00DC55E7" w:rsidP="00DC55E7">
            <w:pPr>
              <w:pStyle w:val="Pa23"/>
              <w:spacing w:after="120"/>
              <w:ind w:left="780" w:right="220" w:hanging="560"/>
              <w:rPr>
                <w:rFonts w:ascii="Times New Roman" w:hAnsi="Times New Roman" w:cs="Times New Roman"/>
                <w:color w:val="221E1F"/>
                <w:sz w:val="20"/>
                <w:szCs w:val="20"/>
              </w:rPr>
            </w:pPr>
            <w:r w:rsidRPr="00DC55E7">
              <w:rPr>
                <w:rFonts w:ascii="Times New Roman" w:hAnsi="Times New Roman" w:cs="Times New Roman"/>
                <w:b/>
                <w:bCs/>
                <w:i/>
                <w:iCs/>
                <w:color w:val="221E1F"/>
                <w:sz w:val="20"/>
                <w:szCs w:val="20"/>
              </w:rPr>
              <w:t xml:space="preserve">Subset indicator </w:t>
            </w:r>
            <w:r w:rsidRPr="00DC55E7">
              <w:rPr>
                <w:rFonts w:ascii="Times New Roman" w:hAnsi="Times New Roman" w:cs="Times New Roman"/>
                <w:b/>
                <w:bCs/>
                <w:color w:val="221E1F"/>
                <w:sz w:val="20"/>
                <w:szCs w:val="20"/>
              </w:rPr>
              <w:t>P12a</w:t>
            </w:r>
            <w:r w:rsidRPr="00DC55E7">
              <w:rPr>
                <w:rFonts w:ascii="Times New Roman" w:hAnsi="Times New Roman" w:cs="Times New Roman"/>
                <w:color w:val="221E1F"/>
                <w:sz w:val="20"/>
                <w:szCs w:val="20"/>
              </w:rPr>
              <w:t>: Number of summaries of product characteristics (SPCs) updated by market authorization holders because of safety concerns in the previous year</w:t>
            </w:r>
          </w:p>
          <w:p w14:paraId="7C8B2E47" w14:textId="37AE7F57" w:rsidR="00DC55E7" w:rsidRDefault="00DC55E7" w:rsidP="00DC55E7">
            <w:pPr>
              <w:spacing w:after="120" w:line="360" w:lineRule="auto"/>
              <w:ind w:left="701" w:hanging="450"/>
              <w:jc w:val="both"/>
              <w:rPr>
                <w:i/>
                <w:iCs/>
                <w:color w:val="000000"/>
                <w:sz w:val="24"/>
                <w:szCs w:val="24"/>
              </w:rPr>
            </w:pPr>
            <w:r w:rsidRPr="00DC55E7">
              <w:rPr>
                <w:b/>
                <w:bCs/>
                <w:color w:val="221E1F"/>
                <w:sz w:val="20"/>
                <w:szCs w:val="20"/>
              </w:rPr>
              <w:t>P13.</w:t>
            </w:r>
            <w:r w:rsidRPr="00DC55E7">
              <w:rPr>
                <w:color w:val="221E1F"/>
                <w:sz w:val="20"/>
                <w:szCs w:val="20"/>
              </w:rPr>
              <w:t xml:space="preserve"> Number of reports from each registered pharmaceutical company received by the pharmacovigilance centre </w:t>
            </w:r>
            <w:r w:rsidRPr="00DC55E7">
              <w:rPr>
                <w:color w:val="221E1F"/>
                <w:sz w:val="20"/>
                <w:szCs w:val="20"/>
              </w:rPr>
              <w:lastRenderedPageBreak/>
              <w:t>in the previous year</w:t>
            </w:r>
          </w:p>
        </w:tc>
      </w:tr>
    </w:tbl>
    <w:p w14:paraId="608BDC89" w14:textId="77777777" w:rsidR="00A11B27" w:rsidRDefault="00A11B27" w:rsidP="00A11B27">
      <w:pPr>
        <w:spacing w:after="120" w:line="360" w:lineRule="auto"/>
        <w:jc w:val="both"/>
        <w:rPr>
          <w:i/>
          <w:iCs/>
          <w:color w:val="000000"/>
          <w:sz w:val="24"/>
          <w:szCs w:val="24"/>
        </w:rPr>
      </w:pPr>
    </w:p>
    <w:p w14:paraId="63128204" w14:textId="67EBA705" w:rsidR="00A11B27" w:rsidRDefault="00A11B27" w:rsidP="00A11B27">
      <w:pPr>
        <w:spacing w:after="120" w:line="360" w:lineRule="auto"/>
        <w:jc w:val="both"/>
        <w:rPr>
          <w:i/>
          <w:iCs/>
          <w:sz w:val="24"/>
          <w:szCs w:val="24"/>
        </w:rPr>
      </w:pPr>
      <w:r w:rsidRPr="009F5B02">
        <w:rPr>
          <w:i/>
          <w:iCs/>
          <w:color w:val="000000"/>
          <w:sz w:val="24"/>
          <w:szCs w:val="24"/>
        </w:rPr>
        <w:t>11.</w:t>
      </w:r>
      <w:r w:rsidR="003F5002">
        <w:rPr>
          <w:i/>
          <w:iCs/>
          <w:color w:val="000000"/>
          <w:sz w:val="24"/>
          <w:szCs w:val="24"/>
        </w:rPr>
        <w:t>5</w:t>
      </w:r>
      <w:r w:rsidRPr="009F5B02">
        <w:rPr>
          <w:i/>
          <w:iCs/>
          <w:color w:val="000000"/>
          <w:sz w:val="24"/>
          <w:szCs w:val="24"/>
        </w:rPr>
        <w:t>.</w:t>
      </w:r>
      <w:r>
        <w:rPr>
          <w:i/>
          <w:iCs/>
          <w:color w:val="000000"/>
          <w:sz w:val="24"/>
          <w:szCs w:val="24"/>
        </w:rPr>
        <w:t>3</w:t>
      </w:r>
      <w:r w:rsidRPr="00E9038A">
        <w:rPr>
          <w:i/>
          <w:iCs/>
          <w:color w:val="000000"/>
          <w:sz w:val="24"/>
          <w:szCs w:val="24"/>
        </w:rPr>
        <w:t xml:space="preserve"> </w:t>
      </w:r>
      <w:r w:rsidRPr="00A11B27">
        <w:rPr>
          <w:i/>
          <w:iCs/>
          <w:color w:val="000000"/>
          <w:sz w:val="24"/>
          <w:szCs w:val="24"/>
        </w:rPr>
        <w:t xml:space="preserve">Complementary </w:t>
      </w:r>
      <w:r w:rsidRPr="00A11B27">
        <w:rPr>
          <w:i/>
          <w:iCs/>
          <w:sz w:val="24"/>
          <w:szCs w:val="24"/>
        </w:rPr>
        <w:t>outcome or impact indicators</w:t>
      </w:r>
    </w:p>
    <w:tbl>
      <w:tblPr>
        <w:tblStyle w:val="TableGrid"/>
        <w:tblW w:w="0" w:type="auto"/>
        <w:tblLook w:val="04A0" w:firstRow="1" w:lastRow="0" w:firstColumn="1" w:lastColumn="0" w:noHBand="0" w:noVBand="1"/>
      </w:tblPr>
      <w:tblGrid>
        <w:gridCol w:w="9350"/>
      </w:tblGrid>
      <w:tr w:rsidR="005223FA" w14:paraId="030BD760" w14:textId="77777777" w:rsidTr="00873E5F">
        <w:tc>
          <w:tcPr>
            <w:tcW w:w="9350" w:type="dxa"/>
            <w:shd w:val="clear" w:color="auto" w:fill="D9E2F3" w:themeFill="accent1" w:themeFillTint="33"/>
          </w:tcPr>
          <w:p w14:paraId="11E11F59" w14:textId="77777777" w:rsidR="005223FA" w:rsidRPr="00873E5F" w:rsidRDefault="00873E5F" w:rsidP="00873E5F">
            <w:pPr>
              <w:spacing w:after="120" w:line="360" w:lineRule="auto"/>
              <w:jc w:val="both"/>
              <w:rPr>
                <w:color w:val="221E1F"/>
                <w:sz w:val="20"/>
                <w:szCs w:val="20"/>
              </w:rPr>
            </w:pPr>
            <w:r w:rsidRPr="00873E5F">
              <w:rPr>
                <w:color w:val="221E1F"/>
                <w:sz w:val="20"/>
                <w:szCs w:val="20"/>
              </w:rPr>
              <w:t>The 12 outcome or impact indicators are as follows:</w:t>
            </w:r>
          </w:p>
          <w:p w14:paraId="397C18C8" w14:textId="7FFB38F3" w:rsidR="00873E5F" w:rsidRPr="00873E5F" w:rsidRDefault="00546F7F" w:rsidP="00873E5F">
            <w:pPr>
              <w:pStyle w:val="Pa22"/>
              <w:spacing w:before="220"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1. Percentage of preventable ADRs reported in the previous year out of the total number of ADRs reported</w:t>
            </w:r>
          </w:p>
          <w:p w14:paraId="68CF8E9D" w14:textId="104E6473" w:rsidR="00873E5F" w:rsidRPr="00873E5F" w:rsidRDefault="00546F7F" w:rsidP="00873E5F">
            <w:pPr>
              <w:pStyle w:val="Pa23"/>
              <w:spacing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2. Number of medicines-related congenital malformations per 100 000 births</w:t>
            </w:r>
          </w:p>
          <w:p w14:paraId="7D9F14B1" w14:textId="2F49CC5D" w:rsidR="00873E5F" w:rsidRPr="00873E5F" w:rsidRDefault="00546F7F" w:rsidP="00873E5F">
            <w:pPr>
              <w:pStyle w:val="Pa23"/>
              <w:spacing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3. Number of medicines found to be possibly associated with congenital malformations in the past 5 years</w:t>
            </w:r>
          </w:p>
          <w:p w14:paraId="5AE9CD93" w14:textId="0515AB95" w:rsidR="00873E5F" w:rsidRPr="00873E5F" w:rsidRDefault="00546F7F" w:rsidP="00873E5F">
            <w:pPr>
              <w:pStyle w:val="Pa23"/>
              <w:spacing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4. Percentage of medicines in the pharmaceutical market that are counterfeit/substandard</w:t>
            </w:r>
          </w:p>
          <w:p w14:paraId="5680633B" w14:textId="3B86015A" w:rsidR="00873E5F" w:rsidRPr="00873E5F" w:rsidRDefault="00546F7F" w:rsidP="00873E5F">
            <w:pPr>
              <w:pStyle w:val="Pa23"/>
              <w:spacing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5. Number of patients affected by a medication error in hospital per 1000 admissions in the previous year</w:t>
            </w:r>
          </w:p>
          <w:p w14:paraId="166BBEAE" w14:textId="470E3912" w:rsidR="00873E5F" w:rsidRPr="00873E5F" w:rsidRDefault="00546F7F" w:rsidP="00873E5F">
            <w:pPr>
              <w:pStyle w:val="Pa23"/>
              <w:spacing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6. Average work or schooldays lost due to drug-related problems</w:t>
            </w:r>
          </w:p>
          <w:p w14:paraId="3E7ED06F" w14:textId="0F02A0D6" w:rsidR="00873E5F" w:rsidRPr="00873E5F" w:rsidRDefault="00546F7F" w:rsidP="00873E5F">
            <w:pPr>
              <w:pStyle w:val="Pa23"/>
              <w:spacing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7. Cost savings (US</w:t>
            </w:r>
            <w:r w:rsidR="003A4A23">
              <w:rPr>
                <w:rFonts w:ascii="Times New Roman" w:hAnsi="Times New Roman" w:cs="Times New Roman"/>
                <w:color w:val="221E1F"/>
                <w:sz w:val="20"/>
                <w:szCs w:val="20"/>
              </w:rPr>
              <w:t xml:space="preserve"> $ or PKRs</w:t>
            </w:r>
            <w:r w:rsidR="00873E5F" w:rsidRPr="00873E5F">
              <w:rPr>
                <w:rFonts w:ascii="Times New Roman" w:hAnsi="Times New Roman" w:cs="Times New Roman"/>
                <w:color w:val="221E1F"/>
                <w:sz w:val="20"/>
                <w:szCs w:val="20"/>
              </w:rPr>
              <w:t>) attributed to pharmacovigilance activities</w:t>
            </w:r>
          </w:p>
          <w:p w14:paraId="220F0725" w14:textId="3B13AC81" w:rsidR="00873E5F" w:rsidRPr="00873E5F" w:rsidRDefault="00546F7F" w:rsidP="00873E5F">
            <w:pPr>
              <w:pStyle w:val="Pa23"/>
              <w:spacing w:after="120"/>
              <w:ind w:left="780" w:right="220" w:hanging="560"/>
              <w:rPr>
                <w:rFonts w:ascii="Times New Roman" w:hAnsi="Times New Roman" w:cs="Times New Roman"/>
                <w:color w:val="221E1F"/>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8. Health budget impact (annual and over time) attributed to pharmacovigilance activity</w:t>
            </w:r>
          </w:p>
          <w:p w14:paraId="3591E198" w14:textId="77777777" w:rsidR="00873E5F" w:rsidRPr="00F16F8B" w:rsidRDefault="00873E5F" w:rsidP="00873E5F">
            <w:pPr>
              <w:pStyle w:val="Pa23"/>
              <w:spacing w:after="120"/>
              <w:ind w:left="780" w:right="220" w:hanging="560"/>
              <w:rPr>
                <w:rFonts w:ascii="Times New Roman" w:hAnsi="Times New Roman" w:cs="Times New Roman"/>
                <w:b/>
                <w:bCs/>
                <w:color w:val="221E1F"/>
                <w:sz w:val="20"/>
                <w:szCs w:val="20"/>
              </w:rPr>
            </w:pPr>
            <w:r w:rsidRPr="00F16F8B">
              <w:rPr>
                <w:rFonts w:ascii="Times New Roman" w:hAnsi="Times New Roman" w:cs="Times New Roman"/>
                <w:b/>
                <w:bCs/>
                <w:i/>
                <w:iCs/>
                <w:color w:val="221E1F"/>
                <w:sz w:val="20"/>
                <w:szCs w:val="20"/>
              </w:rPr>
              <w:t>Rational use of medicines</w:t>
            </w:r>
          </w:p>
          <w:p w14:paraId="3888652D" w14:textId="78EC8F21" w:rsidR="00873E5F" w:rsidRPr="00873E5F" w:rsidRDefault="00546F7F" w:rsidP="00873E5F">
            <w:pPr>
              <w:pStyle w:val="Pa23"/>
              <w:spacing w:after="120"/>
              <w:ind w:left="780" w:right="220" w:hanging="560"/>
              <w:rPr>
                <w:rFonts w:ascii="Times New Roman" w:hAnsi="Times New Roman" w:cs="Times New Roman"/>
                <w:color w:val="000000"/>
                <w:sz w:val="20"/>
                <w:szCs w:val="20"/>
              </w:rPr>
            </w:pPr>
            <w:r>
              <w:rPr>
                <w:rFonts w:ascii="Times New Roman" w:hAnsi="Times New Roman" w:cs="Times New Roman"/>
                <w:color w:val="221E1F"/>
                <w:sz w:val="20"/>
                <w:szCs w:val="20"/>
              </w:rPr>
              <w:t>0</w:t>
            </w:r>
            <w:r w:rsidR="00873E5F" w:rsidRPr="00873E5F">
              <w:rPr>
                <w:rFonts w:ascii="Times New Roman" w:hAnsi="Times New Roman" w:cs="Times New Roman"/>
                <w:color w:val="221E1F"/>
                <w:sz w:val="20"/>
                <w:szCs w:val="20"/>
              </w:rPr>
              <w:t xml:space="preserve">9. Average number of medicines per prescription </w:t>
            </w:r>
          </w:p>
          <w:p w14:paraId="6E018D27" w14:textId="002E9DD9" w:rsidR="00873E5F" w:rsidRPr="00873E5F" w:rsidRDefault="00873E5F" w:rsidP="00873E5F">
            <w:pPr>
              <w:spacing w:after="120" w:line="360" w:lineRule="auto"/>
              <w:ind w:firstLine="251"/>
              <w:jc w:val="both"/>
              <w:rPr>
                <w:color w:val="221E1F"/>
                <w:sz w:val="20"/>
                <w:szCs w:val="20"/>
              </w:rPr>
            </w:pPr>
            <w:r w:rsidRPr="00873E5F">
              <w:rPr>
                <w:color w:val="221E1F"/>
                <w:sz w:val="20"/>
                <w:szCs w:val="20"/>
              </w:rPr>
              <w:t xml:space="preserve">10. Percentage of prescriptions with medicines exceeding </w:t>
            </w:r>
            <w:r w:rsidR="008305F4">
              <w:rPr>
                <w:color w:val="221E1F"/>
                <w:sz w:val="20"/>
                <w:szCs w:val="20"/>
              </w:rPr>
              <w:t xml:space="preserve">the </w:t>
            </w:r>
            <w:r w:rsidRPr="00873E5F">
              <w:rPr>
                <w:color w:val="221E1F"/>
                <w:sz w:val="20"/>
                <w:szCs w:val="20"/>
              </w:rPr>
              <w:t>manufacturer’s recommended dose</w:t>
            </w:r>
          </w:p>
          <w:p w14:paraId="7C14761F" w14:textId="65D46D8D" w:rsidR="00873E5F" w:rsidRPr="00873E5F" w:rsidRDefault="00873E5F" w:rsidP="00873E5F">
            <w:pPr>
              <w:pStyle w:val="Pa23"/>
              <w:spacing w:after="120"/>
              <w:ind w:left="780" w:right="220" w:hanging="560"/>
              <w:rPr>
                <w:rFonts w:ascii="Times New Roman" w:hAnsi="Times New Roman" w:cs="Times New Roman"/>
                <w:color w:val="221E1F"/>
                <w:sz w:val="20"/>
                <w:szCs w:val="20"/>
              </w:rPr>
            </w:pPr>
            <w:r w:rsidRPr="00873E5F">
              <w:rPr>
                <w:rFonts w:ascii="Times New Roman" w:hAnsi="Times New Roman" w:cs="Times New Roman"/>
                <w:color w:val="221E1F"/>
                <w:sz w:val="20"/>
                <w:szCs w:val="20"/>
              </w:rPr>
              <w:t xml:space="preserve">11. Percentage of prescription forms prescribing medicines with potential for interaction </w:t>
            </w:r>
          </w:p>
          <w:p w14:paraId="1E782ABA" w14:textId="217BB3AF" w:rsidR="00873E5F" w:rsidRDefault="00873E5F" w:rsidP="00873E5F">
            <w:pPr>
              <w:spacing w:after="120" w:line="360" w:lineRule="auto"/>
              <w:ind w:firstLine="251"/>
              <w:jc w:val="both"/>
              <w:rPr>
                <w:i/>
                <w:iCs/>
                <w:color w:val="000000"/>
                <w:sz w:val="24"/>
                <w:szCs w:val="24"/>
              </w:rPr>
            </w:pPr>
            <w:r w:rsidRPr="00873E5F">
              <w:rPr>
                <w:color w:val="221E1F"/>
                <w:sz w:val="20"/>
                <w:szCs w:val="20"/>
              </w:rPr>
              <w:t>12. Percentage of patients receiving information on the use of their</w:t>
            </w:r>
          </w:p>
        </w:tc>
      </w:tr>
    </w:tbl>
    <w:p w14:paraId="25AB62DF" w14:textId="30825C60" w:rsidR="006C4F1F" w:rsidRPr="00CF17B0" w:rsidRDefault="006C4F1F" w:rsidP="006C4F1F">
      <w:pPr>
        <w:spacing w:before="120" w:after="120" w:line="276" w:lineRule="auto"/>
        <w:jc w:val="both"/>
        <w:rPr>
          <w:sz w:val="24"/>
          <w:szCs w:val="24"/>
        </w:rPr>
      </w:pPr>
    </w:p>
    <w:p w14:paraId="100C1B4C" w14:textId="77777777" w:rsidR="00947A23" w:rsidRDefault="00947A23">
      <w:pPr>
        <w:widowControl/>
        <w:spacing w:before="120" w:after="120" w:line="360" w:lineRule="auto"/>
        <w:jc w:val="both"/>
        <w:rPr>
          <w:rFonts w:asciiTheme="majorBidi" w:hAnsiTheme="majorBidi" w:cstheme="majorBidi"/>
          <w:sz w:val="28"/>
          <w:szCs w:val="28"/>
        </w:rPr>
      </w:pPr>
      <w:r>
        <w:br w:type="page"/>
      </w:r>
    </w:p>
    <w:p w14:paraId="0558681E" w14:textId="3EC2205B" w:rsidR="008E549D" w:rsidRPr="00947A23" w:rsidRDefault="005D45B3" w:rsidP="00947A23">
      <w:pPr>
        <w:rPr>
          <w:b/>
          <w:bCs/>
          <w:sz w:val="32"/>
          <w:szCs w:val="32"/>
        </w:rPr>
      </w:pPr>
      <w:r w:rsidRPr="00947A23">
        <w:rPr>
          <w:b/>
          <w:bCs/>
          <w:sz w:val="32"/>
          <w:szCs w:val="32"/>
        </w:rPr>
        <w:lastRenderedPageBreak/>
        <w:t>REFERENCES</w:t>
      </w:r>
    </w:p>
    <w:p w14:paraId="4E9C47AD" w14:textId="040D7FA8" w:rsidR="00630255"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2" w:history="1">
        <w:r w:rsidR="00D2737A" w:rsidRPr="00D2737A">
          <w:rPr>
            <w:rStyle w:val="Hyperlink"/>
            <w:sz w:val="24"/>
            <w:szCs w:val="24"/>
          </w:rPr>
          <w:t xml:space="preserve">The </w:t>
        </w:r>
        <w:r w:rsidR="00630255" w:rsidRPr="00D2737A">
          <w:rPr>
            <w:rStyle w:val="Hyperlink"/>
            <w:sz w:val="24"/>
            <w:szCs w:val="24"/>
          </w:rPr>
          <w:t>Pharmacovigilance Rules, 2022</w:t>
        </w:r>
      </w:hyperlink>
      <w:r w:rsidR="00630255" w:rsidRPr="003C3AE6">
        <w:rPr>
          <w:color w:val="000000"/>
          <w:sz w:val="24"/>
          <w:szCs w:val="24"/>
        </w:rPr>
        <w:t>.</w:t>
      </w:r>
    </w:p>
    <w:p w14:paraId="41408937" w14:textId="01687627" w:rsidR="00630255"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3" w:history="1">
        <w:r w:rsidR="00630255" w:rsidRPr="005719AF">
          <w:rPr>
            <w:rStyle w:val="Hyperlink"/>
            <w:sz w:val="24"/>
            <w:szCs w:val="24"/>
          </w:rPr>
          <w:t>The Importance of Pharmacovigilance Safety Monitoring of Medicinal Product.</w:t>
        </w:r>
      </w:hyperlink>
    </w:p>
    <w:p w14:paraId="4970A43E" w14:textId="720471C1" w:rsidR="003C3AE6"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4" w:history="1">
        <w:r w:rsidR="00630255" w:rsidRPr="005719AF">
          <w:rPr>
            <w:rStyle w:val="Hyperlink"/>
            <w:sz w:val="24"/>
            <w:szCs w:val="24"/>
          </w:rPr>
          <w:t>The Safety of Medicines in Public Health Programmes: Pharmacovigilance an Essential Tool.</w:t>
        </w:r>
      </w:hyperlink>
    </w:p>
    <w:p w14:paraId="5EB5C8B6" w14:textId="4FE180C6" w:rsidR="003C3AE6"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5" w:history="1">
        <w:r w:rsidR="003C3AE6" w:rsidRPr="00622BA3">
          <w:rPr>
            <w:rStyle w:val="Hyperlink"/>
            <w:sz w:val="24"/>
            <w:szCs w:val="24"/>
          </w:rPr>
          <w:t>WHO pharmacovigilance indicators: a practical manual for the assessment of pharmacovigilance systems.</w:t>
        </w:r>
      </w:hyperlink>
    </w:p>
    <w:p w14:paraId="39818C8E" w14:textId="633FDF07" w:rsidR="00630255"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6" w:history="1">
        <w:r w:rsidR="00630255" w:rsidRPr="005719AF">
          <w:rPr>
            <w:rStyle w:val="Hyperlink"/>
            <w:bCs/>
            <w:sz w:val="24"/>
            <w:szCs w:val="24"/>
          </w:rPr>
          <w:t>The Safety Monitoring of</w:t>
        </w:r>
        <w:r w:rsidR="00630255" w:rsidRPr="005719AF">
          <w:rPr>
            <w:rStyle w:val="Hyperlink"/>
            <w:iCs/>
            <w:sz w:val="24"/>
            <w:szCs w:val="24"/>
          </w:rPr>
          <w:t xml:space="preserve"> </w:t>
        </w:r>
        <w:r w:rsidR="00630255" w:rsidRPr="005719AF">
          <w:rPr>
            <w:rStyle w:val="Hyperlink"/>
            <w:bCs/>
            <w:sz w:val="24"/>
            <w:szCs w:val="24"/>
          </w:rPr>
          <w:t xml:space="preserve">Medicinal Products </w:t>
        </w:r>
        <w:r w:rsidR="00630255" w:rsidRPr="005719AF">
          <w:rPr>
            <w:rStyle w:val="Hyperlink"/>
            <w:sz w:val="24"/>
            <w:szCs w:val="24"/>
          </w:rPr>
          <w:t>Guidelines for Setting Up and Running a Pharmacovigilance Centre.</w:t>
        </w:r>
      </w:hyperlink>
    </w:p>
    <w:p w14:paraId="52F79126" w14:textId="59F09D56" w:rsidR="00630255"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7" w:history="1">
        <w:r w:rsidR="00630255" w:rsidRPr="005719AF">
          <w:rPr>
            <w:rStyle w:val="Hyperlink"/>
            <w:sz w:val="24"/>
            <w:szCs w:val="24"/>
          </w:rPr>
          <w:t>E2B, E2C, E2D and E2E guidelines of ICH&gt;</w:t>
        </w:r>
      </w:hyperlink>
    </w:p>
    <w:p w14:paraId="3CC3DD1C" w14:textId="75038D14" w:rsidR="0005234B"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8" w:anchor=":~:text=Good%20pharmacovigilance%20practices%20(GVP)%20are,authorities%20in%20EU%20Member%20States." w:history="1">
        <w:r w:rsidR="00630255" w:rsidRPr="005719AF">
          <w:rPr>
            <w:rStyle w:val="Hyperlink"/>
            <w:sz w:val="24"/>
            <w:szCs w:val="24"/>
          </w:rPr>
          <w:t>Good Pharmacovigilance Practices Guidelines of European Medicines Agency.</w:t>
        </w:r>
      </w:hyperlink>
      <w:r w:rsidR="00630255" w:rsidRPr="003C3AE6">
        <w:rPr>
          <w:sz w:val="24"/>
          <w:szCs w:val="24"/>
        </w:rPr>
        <w:t xml:space="preserve"> </w:t>
      </w:r>
    </w:p>
    <w:p w14:paraId="0059C737" w14:textId="336558B6" w:rsidR="00BC667E" w:rsidRPr="003C3AE6" w:rsidRDefault="00E03A13" w:rsidP="00B475D6">
      <w:pPr>
        <w:pStyle w:val="ListParagraph"/>
        <w:numPr>
          <w:ilvl w:val="0"/>
          <w:numId w:val="3"/>
        </w:numPr>
        <w:spacing w:before="120" w:after="240" w:line="276" w:lineRule="auto"/>
        <w:ind w:left="1412" w:hanging="562"/>
        <w:contextualSpacing w:val="0"/>
        <w:jc w:val="both"/>
        <w:rPr>
          <w:sz w:val="24"/>
          <w:szCs w:val="24"/>
        </w:rPr>
      </w:pPr>
      <w:hyperlink r:id="rId109" w:history="1">
        <w:r w:rsidR="00BC667E" w:rsidRPr="003C3AE6">
          <w:rPr>
            <w:rStyle w:val="Hyperlink"/>
            <w:sz w:val="24"/>
            <w:szCs w:val="24"/>
          </w:rPr>
          <w:t>Take &amp; Tell Brochure of the Uppsala Monitoring Centre, Sweden.</w:t>
        </w:r>
      </w:hyperlink>
    </w:p>
    <w:p w14:paraId="5184C1B6" w14:textId="58C48F7B" w:rsidR="00BC667E" w:rsidRPr="00873BD7" w:rsidRDefault="00E03A13" w:rsidP="00B475D6">
      <w:pPr>
        <w:pStyle w:val="ListParagraph"/>
        <w:numPr>
          <w:ilvl w:val="0"/>
          <w:numId w:val="3"/>
        </w:numPr>
        <w:spacing w:before="120" w:after="240" w:line="276" w:lineRule="auto"/>
        <w:ind w:left="1412" w:hanging="562"/>
        <w:contextualSpacing w:val="0"/>
        <w:jc w:val="both"/>
        <w:rPr>
          <w:rStyle w:val="Hyperlink"/>
          <w:color w:val="auto"/>
          <w:sz w:val="24"/>
          <w:szCs w:val="24"/>
          <w:u w:val="none"/>
        </w:rPr>
      </w:pPr>
      <w:hyperlink r:id="rId110" w:history="1">
        <w:r w:rsidR="00BC667E" w:rsidRPr="003C3AE6">
          <w:rPr>
            <w:rStyle w:val="Hyperlink"/>
            <w:sz w:val="24"/>
            <w:szCs w:val="24"/>
          </w:rPr>
          <w:t>European Medicine Agency adverse reaction reporting guidelines for patients.</w:t>
        </w:r>
      </w:hyperlink>
    </w:p>
    <w:p w14:paraId="07C135AF" w14:textId="0576A8C7" w:rsidR="00873BD7" w:rsidRPr="00537E19" w:rsidRDefault="00E03A13" w:rsidP="00B475D6">
      <w:pPr>
        <w:pStyle w:val="ListParagraph"/>
        <w:numPr>
          <w:ilvl w:val="0"/>
          <w:numId w:val="3"/>
        </w:numPr>
        <w:spacing w:before="120" w:after="240" w:line="276" w:lineRule="auto"/>
        <w:ind w:left="1412" w:hanging="562"/>
        <w:contextualSpacing w:val="0"/>
        <w:rPr>
          <w:sz w:val="24"/>
          <w:szCs w:val="24"/>
        </w:rPr>
      </w:pPr>
      <w:hyperlink r:id="rId111" w:history="1">
        <w:r w:rsidR="00AC5D13" w:rsidRPr="00537E19">
          <w:rPr>
            <w:rStyle w:val="Hyperlink"/>
            <w:sz w:val="24"/>
            <w:szCs w:val="24"/>
          </w:rPr>
          <w:t>DRAP guidelines on good pharmacovigilance practices for registration holders.</w:t>
        </w:r>
      </w:hyperlink>
    </w:p>
    <w:p w14:paraId="16067FC5" w14:textId="4A90CF39" w:rsidR="00AC5D13" w:rsidRPr="00537E19" w:rsidRDefault="00E03A13" w:rsidP="00B475D6">
      <w:pPr>
        <w:pStyle w:val="ListParagraph"/>
        <w:numPr>
          <w:ilvl w:val="0"/>
          <w:numId w:val="3"/>
        </w:numPr>
        <w:spacing w:before="120" w:after="240" w:line="276" w:lineRule="auto"/>
        <w:ind w:left="1412" w:hanging="562"/>
        <w:contextualSpacing w:val="0"/>
        <w:rPr>
          <w:rStyle w:val="Strong"/>
          <w:b w:val="0"/>
          <w:bCs w:val="0"/>
          <w:sz w:val="24"/>
          <w:szCs w:val="24"/>
        </w:rPr>
      </w:pPr>
      <w:hyperlink r:id="rId112" w:history="1">
        <w:r w:rsidR="00537E19" w:rsidRPr="00537E19">
          <w:rPr>
            <w:rStyle w:val="Hyperlink"/>
            <w:sz w:val="24"/>
            <w:szCs w:val="24"/>
            <w:bdr w:val="none" w:sz="0" w:space="0" w:color="auto" w:frame="1"/>
            <w:shd w:val="clear" w:color="auto" w:fill="F4F6F7"/>
          </w:rPr>
          <w:t>Guidelines on pharmacovigilance for public health programmes.</w:t>
        </w:r>
      </w:hyperlink>
    </w:p>
    <w:p w14:paraId="5F4C70A8" w14:textId="15ED174C" w:rsidR="00537E19" w:rsidRPr="00537E19" w:rsidRDefault="00E03A13" w:rsidP="00B475D6">
      <w:pPr>
        <w:pStyle w:val="ListParagraph"/>
        <w:numPr>
          <w:ilvl w:val="0"/>
          <w:numId w:val="3"/>
        </w:numPr>
        <w:spacing w:before="120" w:after="240" w:line="276" w:lineRule="auto"/>
        <w:ind w:left="1412" w:hanging="562"/>
        <w:contextualSpacing w:val="0"/>
        <w:rPr>
          <w:rStyle w:val="Strong"/>
          <w:b w:val="0"/>
          <w:bCs w:val="0"/>
          <w:sz w:val="24"/>
          <w:szCs w:val="24"/>
        </w:rPr>
      </w:pPr>
      <w:hyperlink r:id="rId113" w:history="1">
        <w:r w:rsidR="00537E19" w:rsidRPr="00F048CC">
          <w:rPr>
            <w:rStyle w:val="Hyperlink"/>
            <w:sz w:val="24"/>
            <w:szCs w:val="24"/>
            <w:bdr w:val="none" w:sz="0" w:space="0" w:color="auto" w:frame="1"/>
            <w:shd w:val="clear" w:color="auto" w:fill="F4F6F7"/>
          </w:rPr>
          <w:t>Adverse events reporting guidelines for patients, caretakers and consumers.</w:t>
        </w:r>
      </w:hyperlink>
    </w:p>
    <w:p w14:paraId="2311FD87" w14:textId="32795C31" w:rsidR="00537E19" w:rsidRPr="00537E19" w:rsidRDefault="00E03A13" w:rsidP="00B475D6">
      <w:pPr>
        <w:pStyle w:val="ListParagraph"/>
        <w:numPr>
          <w:ilvl w:val="0"/>
          <w:numId w:val="3"/>
        </w:numPr>
        <w:spacing w:before="120" w:after="240" w:line="276" w:lineRule="auto"/>
        <w:ind w:left="1412" w:hanging="562"/>
        <w:contextualSpacing w:val="0"/>
        <w:rPr>
          <w:sz w:val="24"/>
          <w:szCs w:val="24"/>
        </w:rPr>
      </w:pPr>
      <w:hyperlink r:id="rId114" w:history="1">
        <w:r w:rsidR="00537E19" w:rsidRPr="00537E19">
          <w:rPr>
            <w:rStyle w:val="Hyperlink"/>
            <w:sz w:val="24"/>
            <w:szCs w:val="24"/>
            <w:bdr w:val="none" w:sz="0" w:space="0" w:color="auto" w:frame="1"/>
            <w:shd w:val="clear" w:color="auto" w:fill="F4F6F7"/>
          </w:rPr>
          <w:t>Adverse event reporting guidelines for healthcare professionals.</w:t>
        </w:r>
      </w:hyperlink>
      <w:r w:rsidR="00537E19" w:rsidRPr="00537E19">
        <w:rPr>
          <w:color w:val="000000"/>
          <w:sz w:val="24"/>
          <w:szCs w:val="24"/>
        </w:rPr>
        <w:br/>
      </w:r>
    </w:p>
    <w:p w14:paraId="056C5BB5" w14:textId="2906E7A0" w:rsidR="003A0ABC" w:rsidRPr="00CF17B0" w:rsidRDefault="003A0ABC" w:rsidP="006F5F10">
      <w:pPr>
        <w:spacing w:before="120" w:after="120" w:line="276" w:lineRule="auto"/>
        <w:jc w:val="both"/>
        <w:rPr>
          <w:sz w:val="24"/>
          <w:szCs w:val="24"/>
        </w:rPr>
      </w:pPr>
    </w:p>
    <w:p w14:paraId="08F0B9CC" w14:textId="5018721F" w:rsidR="003A0ABC" w:rsidRPr="00CF17B0" w:rsidRDefault="003A0ABC" w:rsidP="00CF17B0">
      <w:pPr>
        <w:spacing w:before="120" w:after="120" w:line="276" w:lineRule="auto"/>
        <w:ind w:left="357"/>
        <w:jc w:val="both"/>
        <w:rPr>
          <w:sz w:val="24"/>
          <w:szCs w:val="24"/>
        </w:rPr>
      </w:pPr>
      <w:r w:rsidRPr="00CF17B0">
        <w:rPr>
          <w:sz w:val="24"/>
          <w:szCs w:val="24"/>
        </w:rPr>
        <w:tab/>
      </w:r>
      <w:r w:rsidRPr="00CF17B0">
        <w:rPr>
          <w:sz w:val="24"/>
          <w:szCs w:val="24"/>
        </w:rPr>
        <w:tab/>
      </w:r>
      <w:r w:rsidRPr="00CF17B0">
        <w:rPr>
          <w:sz w:val="24"/>
          <w:szCs w:val="24"/>
        </w:rPr>
        <w:tab/>
        <w:t>*******************************************</w:t>
      </w:r>
    </w:p>
    <w:p w14:paraId="1BC65EBA" w14:textId="77777777" w:rsidR="00CF17B0" w:rsidRDefault="00CF17B0" w:rsidP="00893329">
      <w:pPr>
        <w:pStyle w:val="Heading1"/>
        <w:bidi/>
      </w:pPr>
    </w:p>
    <w:p w14:paraId="242CCA0F" w14:textId="77777777" w:rsidR="00CF17B0" w:rsidRDefault="00CF17B0" w:rsidP="00893329">
      <w:pPr>
        <w:pStyle w:val="Heading1"/>
        <w:bidi/>
      </w:pPr>
    </w:p>
    <w:p w14:paraId="7E7DBE5F" w14:textId="77777777" w:rsidR="001C166E" w:rsidRDefault="001C166E" w:rsidP="00893329">
      <w:pPr>
        <w:pStyle w:val="Heading1"/>
        <w:bidi/>
      </w:pPr>
    </w:p>
    <w:p w14:paraId="689EA516" w14:textId="77777777" w:rsidR="001C166E" w:rsidRDefault="001C166E" w:rsidP="00893329">
      <w:pPr>
        <w:pStyle w:val="Heading1"/>
        <w:bidi/>
      </w:pPr>
    </w:p>
    <w:p w14:paraId="36784913" w14:textId="77777777" w:rsidR="001C166E" w:rsidRDefault="001C166E" w:rsidP="00893329">
      <w:pPr>
        <w:pStyle w:val="Heading1"/>
        <w:bidi/>
      </w:pPr>
    </w:p>
    <w:p w14:paraId="4DF2A1F2" w14:textId="77777777" w:rsidR="001C166E" w:rsidRDefault="001C166E" w:rsidP="00893329">
      <w:pPr>
        <w:pStyle w:val="Heading1"/>
        <w:bidi/>
      </w:pPr>
    </w:p>
    <w:p w14:paraId="38F1D831" w14:textId="77777777" w:rsidR="001C166E" w:rsidRDefault="001C166E">
      <w:pPr>
        <w:widowControl/>
        <w:spacing w:before="120" w:after="120" w:line="360" w:lineRule="auto"/>
        <w:jc w:val="both"/>
        <w:rPr>
          <w:rFonts w:asciiTheme="majorBidi" w:hAnsiTheme="majorBidi" w:cstheme="majorBidi"/>
          <w:b/>
          <w:bCs/>
          <w:sz w:val="32"/>
          <w:szCs w:val="28"/>
        </w:rPr>
      </w:pPr>
      <w:r>
        <w:br w:type="page"/>
      </w:r>
    </w:p>
    <w:p w14:paraId="4A807DD4" w14:textId="5859E77C" w:rsidR="00810A95" w:rsidRDefault="00447CEF" w:rsidP="00BF56FC">
      <w:pPr>
        <w:pStyle w:val="Level1DRAP"/>
        <w:numPr>
          <w:ilvl w:val="0"/>
          <w:numId w:val="0"/>
        </w:numPr>
        <w:ind w:left="720"/>
        <w:jc w:val="right"/>
      </w:pPr>
      <w:bookmarkStart w:id="364" w:name="_Toc110329946"/>
      <w:r>
        <w:lastRenderedPageBreak/>
        <w:t>ANNEXURE A</w:t>
      </w:r>
      <w:bookmarkEnd w:id="364"/>
    </w:p>
    <w:p w14:paraId="0C12620E" w14:textId="2E912F2E" w:rsidR="00111E41" w:rsidRPr="00450197" w:rsidRDefault="00BC602B" w:rsidP="000B469C">
      <w:pPr>
        <w:jc w:val="center"/>
        <w:rPr>
          <w:b/>
          <w:bCs/>
          <w:sz w:val="24"/>
          <w:szCs w:val="24"/>
        </w:rPr>
      </w:pPr>
      <w:r w:rsidRPr="00450197">
        <w:rPr>
          <w:b/>
          <w:bCs/>
          <w:sz w:val="24"/>
          <w:szCs w:val="24"/>
        </w:rPr>
        <w:t>SUSPECTED ADVERSE DRUG REACTION REPORTING FOR HEALTHCARE PROFESSIONALS</w:t>
      </w:r>
    </w:p>
    <w:p w14:paraId="0ED2DA23" w14:textId="6F6F16F0" w:rsidR="00354E9C" w:rsidRDefault="00850470" w:rsidP="00C90E6B">
      <w:r>
        <w:rPr>
          <w:noProof/>
        </w:rPr>
        <w:drawing>
          <wp:inline distT="0" distB="0" distL="0" distR="0" wp14:anchorId="61FF2986" wp14:editId="58FF2C85">
            <wp:extent cx="5229225" cy="7172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29225" cy="7172325"/>
                    </a:xfrm>
                    <a:prstGeom prst="rect">
                      <a:avLst/>
                    </a:prstGeom>
                    <a:noFill/>
                    <a:ln>
                      <a:noFill/>
                    </a:ln>
                  </pic:spPr>
                </pic:pic>
              </a:graphicData>
            </a:graphic>
          </wp:inline>
        </w:drawing>
      </w:r>
    </w:p>
    <w:p w14:paraId="13CFDE04" w14:textId="4C181930" w:rsidR="00850470" w:rsidRDefault="001F394C" w:rsidP="00E8223F">
      <w:r>
        <w:rPr>
          <w:noProof/>
        </w:rPr>
        <w:lastRenderedPageBreak/>
        <w:drawing>
          <wp:inline distT="0" distB="0" distL="0" distR="0" wp14:anchorId="4A1AE0D6" wp14:editId="001ED5C4">
            <wp:extent cx="5653450" cy="73914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1481" cy="7401900"/>
                    </a:xfrm>
                    <a:prstGeom prst="rect">
                      <a:avLst/>
                    </a:prstGeom>
                    <a:noFill/>
                    <a:ln>
                      <a:noFill/>
                    </a:ln>
                  </pic:spPr>
                </pic:pic>
              </a:graphicData>
            </a:graphic>
          </wp:inline>
        </w:drawing>
      </w:r>
    </w:p>
    <w:p w14:paraId="37C01135" w14:textId="77777777" w:rsidR="00810A95" w:rsidRPr="00810A95" w:rsidRDefault="00810A95" w:rsidP="00810A95"/>
    <w:p w14:paraId="5C385B76" w14:textId="78CB429D" w:rsidR="00810A95" w:rsidRDefault="00810A95" w:rsidP="00E648B6">
      <w:pPr>
        <w:jc w:val="center"/>
      </w:pPr>
    </w:p>
    <w:p w14:paraId="34F7C037" w14:textId="1F95D5A6" w:rsidR="002C63C1" w:rsidRDefault="002C63C1" w:rsidP="00810A95"/>
    <w:p w14:paraId="1FD99D0E" w14:textId="77777777" w:rsidR="00721EE7" w:rsidRDefault="00721EE7" w:rsidP="00893329">
      <w:pPr>
        <w:pStyle w:val="Heading1"/>
        <w:bidi/>
      </w:pPr>
    </w:p>
    <w:p w14:paraId="6834BDF0" w14:textId="77777777" w:rsidR="00721EE7" w:rsidRDefault="00721EE7" w:rsidP="00721EE7">
      <w:pPr>
        <w:pStyle w:val="Heading1"/>
        <w:bidi/>
      </w:pPr>
    </w:p>
    <w:p w14:paraId="74B96621" w14:textId="25B0EC10" w:rsidR="002C63C1" w:rsidRPr="003D6E57" w:rsidRDefault="002C63C1" w:rsidP="003D6E57">
      <w:pPr>
        <w:pStyle w:val="Level1DRAP"/>
        <w:numPr>
          <w:ilvl w:val="0"/>
          <w:numId w:val="0"/>
        </w:numPr>
        <w:ind w:left="720"/>
      </w:pPr>
      <w:bookmarkStart w:id="365" w:name="_Toc110329947"/>
      <w:r w:rsidRPr="003D6E57">
        <w:lastRenderedPageBreak/>
        <w:t>ANNEXURE B</w:t>
      </w:r>
      <w:bookmarkEnd w:id="365"/>
    </w:p>
    <w:p w14:paraId="0F5CE763" w14:textId="7A257A52" w:rsidR="00721EE7" w:rsidRDefault="00721EE7" w:rsidP="00721EE7">
      <w:r w:rsidRPr="001704A0">
        <w:rPr>
          <w:b/>
          <w:bCs/>
          <w:i/>
          <w:iCs/>
          <w:sz w:val="26"/>
          <w:szCs w:val="26"/>
        </w:rPr>
        <w:t>Med Vigilance E Reporting System</w:t>
      </w:r>
      <w:r>
        <w:rPr>
          <w:b/>
          <w:bCs/>
          <w:i/>
          <w:iCs/>
          <w:sz w:val="26"/>
          <w:szCs w:val="26"/>
        </w:rPr>
        <w:t xml:space="preserve"> (For patient and healthcare professionals)</w:t>
      </w:r>
    </w:p>
    <w:p w14:paraId="1A31A8FB" w14:textId="77777777" w:rsidR="00F54EE2" w:rsidRPr="00F54EE2" w:rsidRDefault="00F54EE2" w:rsidP="00F54EE2"/>
    <w:p w14:paraId="523208B6" w14:textId="051365BC" w:rsidR="002C63C1" w:rsidRDefault="00F54EE2" w:rsidP="00F54EE2">
      <w:pPr>
        <w:ind w:left="-709"/>
      </w:pPr>
      <w:r>
        <w:rPr>
          <w:noProof/>
          <w:lang w:val="en-US"/>
        </w:rPr>
        <w:drawing>
          <wp:inline distT="0" distB="0" distL="0" distR="0" wp14:anchorId="1E734C16" wp14:editId="68E92B02">
            <wp:extent cx="6838950" cy="4324350"/>
            <wp:effectExtent l="114300" t="114300" r="114300"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8950" cy="432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759A1A" w14:textId="42A596FC" w:rsidR="00F54EE2" w:rsidRDefault="00F54EE2" w:rsidP="00F54EE2">
      <w:pPr>
        <w:ind w:left="-709"/>
      </w:pPr>
    </w:p>
    <w:p w14:paraId="659E1C95" w14:textId="68CFADE3" w:rsidR="00F54EE2" w:rsidRDefault="00E648B6" w:rsidP="00E648B6">
      <w:pPr>
        <w:ind w:left="-426"/>
        <w:jc w:val="center"/>
      </w:pPr>
      <w:r>
        <w:rPr>
          <w:noProof/>
          <w:lang w:val="en-US"/>
        </w:rPr>
        <w:lastRenderedPageBreak/>
        <w:drawing>
          <wp:inline distT="0" distB="0" distL="0" distR="0" wp14:anchorId="71F5D807" wp14:editId="74E86E19">
            <wp:extent cx="6362700" cy="864601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8">
                      <a:extLst>
                        <a:ext uri="{28A0092B-C50C-407E-A947-70E740481C1C}">
                          <a14:useLocalDpi xmlns:a14="http://schemas.microsoft.com/office/drawing/2010/main" val="0"/>
                        </a:ext>
                      </a:extLst>
                    </a:blip>
                    <a:srcRect l="2794" t="6800" r="5374" b="4936"/>
                    <a:stretch/>
                  </pic:blipFill>
                  <pic:spPr bwMode="auto">
                    <a:xfrm>
                      <a:off x="0" y="0"/>
                      <a:ext cx="6371144" cy="8657486"/>
                    </a:xfrm>
                    <a:prstGeom prst="rect">
                      <a:avLst/>
                    </a:prstGeom>
                    <a:noFill/>
                    <a:ln>
                      <a:noFill/>
                    </a:ln>
                    <a:extLst>
                      <a:ext uri="{53640926-AAD7-44D8-BBD7-CCE9431645EC}">
                        <a14:shadowObscured xmlns:a14="http://schemas.microsoft.com/office/drawing/2010/main"/>
                      </a:ext>
                    </a:extLst>
                  </pic:spPr>
                </pic:pic>
              </a:graphicData>
            </a:graphic>
          </wp:inline>
        </w:drawing>
      </w:r>
    </w:p>
    <w:p w14:paraId="477CDFB8" w14:textId="0D62EB59" w:rsidR="00E648B6" w:rsidRDefault="00E648B6" w:rsidP="00E648B6">
      <w:pPr>
        <w:ind w:left="-426"/>
        <w:jc w:val="center"/>
      </w:pPr>
      <w:r>
        <w:rPr>
          <w:noProof/>
          <w:lang w:val="en-US"/>
        </w:rPr>
        <w:lastRenderedPageBreak/>
        <w:drawing>
          <wp:inline distT="0" distB="0" distL="0" distR="0" wp14:anchorId="27567165" wp14:editId="7BB4B2F3">
            <wp:extent cx="6067425" cy="870026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5540" t="6281" r="4801" b="2784"/>
                    <a:stretch/>
                  </pic:blipFill>
                  <pic:spPr bwMode="auto">
                    <a:xfrm>
                      <a:off x="0" y="0"/>
                      <a:ext cx="6078175" cy="8715675"/>
                    </a:xfrm>
                    <a:prstGeom prst="rect">
                      <a:avLst/>
                    </a:prstGeom>
                    <a:noFill/>
                    <a:ln>
                      <a:noFill/>
                    </a:ln>
                    <a:extLst>
                      <a:ext uri="{53640926-AAD7-44D8-BBD7-CCE9431645EC}">
                        <a14:shadowObscured xmlns:a14="http://schemas.microsoft.com/office/drawing/2010/main"/>
                      </a:ext>
                    </a:extLst>
                  </pic:spPr>
                </pic:pic>
              </a:graphicData>
            </a:graphic>
          </wp:inline>
        </w:drawing>
      </w:r>
    </w:p>
    <w:p w14:paraId="38795BA6" w14:textId="27494D35" w:rsidR="00F25F77" w:rsidRDefault="00F25F77" w:rsidP="00E648B6">
      <w:pPr>
        <w:ind w:left="-426"/>
        <w:jc w:val="center"/>
      </w:pPr>
      <w:r>
        <w:rPr>
          <w:noProof/>
          <w:lang w:val="en-US"/>
        </w:rPr>
        <w:lastRenderedPageBreak/>
        <w:drawing>
          <wp:inline distT="0" distB="0" distL="0" distR="0" wp14:anchorId="155F86BA" wp14:editId="47CF6913">
            <wp:extent cx="627570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4809" t="5580" r="3813" b="62164"/>
                    <a:stretch/>
                  </pic:blipFill>
                  <pic:spPr bwMode="auto">
                    <a:xfrm>
                      <a:off x="0" y="0"/>
                      <a:ext cx="6301865" cy="3003317"/>
                    </a:xfrm>
                    <a:prstGeom prst="rect">
                      <a:avLst/>
                    </a:prstGeom>
                    <a:noFill/>
                    <a:ln>
                      <a:noFill/>
                    </a:ln>
                    <a:extLst>
                      <a:ext uri="{53640926-AAD7-44D8-BBD7-CCE9431645EC}">
                        <a14:shadowObscured xmlns:a14="http://schemas.microsoft.com/office/drawing/2010/main"/>
                      </a:ext>
                    </a:extLst>
                  </pic:spPr>
                </pic:pic>
              </a:graphicData>
            </a:graphic>
          </wp:inline>
        </w:drawing>
      </w:r>
    </w:p>
    <w:p w14:paraId="588ED3CF" w14:textId="51A83FCD" w:rsidR="00F25F77" w:rsidRDefault="00F25F77" w:rsidP="00E648B6">
      <w:pPr>
        <w:ind w:left="-426"/>
        <w:jc w:val="center"/>
      </w:pPr>
      <w:r>
        <w:rPr>
          <w:noProof/>
          <w:lang w:val="en-US"/>
        </w:rPr>
        <w:drawing>
          <wp:inline distT="0" distB="0" distL="0" distR="0" wp14:anchorId="272244FB" wp14:editId="3D4D4044">
            <wp:extent cx="5943600" cy="36669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5024" t="6619" r="4943" b="51721"/>
                    <a:stretch/>
                  </pic:blipFill>
                  <pic:spPr bwMode="auto">
                    <a:xfrm>
                      <a:off x="0" y="0"/>
                      <a:ext cx="5943600" cy="3666933"/>
                    </a:xfrm>
                    <a:prstGeom prst="rect">
                      <a:avLst/>
                    </a:prstGeom>
                    <a:noFill/>
                    <a:ln>
                      <a:noFill/>
                    </a:ln>
                    <a:extLst>
                      <a:ext uri="{53640926-AAD7-44D8-BBD7-CCE9431645EC}">
                        <a14:shadowObscured xmlns:a14="http://schemas.microsoft.com/office/drawing/2010/main"/>
                      </a:ext>
                    </a:extLst>
                  </pic:spPr>
                </pic:pic>
              </a:graphicData>
            </a:graphic>
          </wp:inline>
        </w:drawing>
      </w:r>
    </w:p>
    <w:p w14:paraId="21602D0F" w14:textId="7517BD49" w:rsidR="00AE30BF" w:rsidRDefault="00E648B6" w:rsidP="00AE30BF">
      <w:pPr>
        <w:ind w:left="-426"/>
        <w:jc w:val="center"/>
      </w:pPr>
      <w:r>
        <w:rPr>
          <w:noProof/>
          <w:lang w:val="en-US"/>
        </w:rPr>
        <w:drawing>
          <wp:inline distT="0" distB="0" distL="0" distR="0" wp14:anchorId="2AE3F923" wp14:editId="36A668A1">
            <wp:extent cx="6067425" cy="1666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4604" t="5722" r="3742" b="75019"/>
                    <a:stretch/>
                  </pic:blipFill>
                  <pic:spPr bwMode="auto">
                    <a:xfrm>
                      <a:off x="0" y="0"/>
                      <a:ext cx="6078342" cy="1669874"/>
                    </a:xfrm>
                    <a:prstGeom prst="rect">
                      <a:avLst/>
                    </a:prstGeom>
                    <a:noFill/>
                    <a:ln>
                      <a:noFill/>
                    </a:ln>
                    <a:extLst>
                      <a:ext uri="{53640926-AAD7-44D8-BBD7-CCE9431645EC}">
                        <a14:shadowObscured xmlns:a14="http://schemas.microsoft.com/office/drawing/2010/main"/>
                      </a:ext>
                    </a:extLst>
                  </pic:spPr>
                </pic:pic>
              </a:graphicData>
            </a:graphic>
          </wp:inline>
        </w:drawing>
      </w:r>
      <w:r w:rsidR="00F25F77">
        <w:t xml:space="preserve">   </w:t>
      </w:r>
      <w:r>
        <w:rPr>
          <w:noProof/>
          <w:lang w:val="en-US"/>
        </w:rPr>
        <w:lastRenderedPageBreak/>
        <w:drawing>
          <wp:inline distT="0" distB="0" distL="0" distR="0" wp14:anchorId="38AA1DCC" wp14:editId="55C57928">
            <wp:extent cx="6112005" cy="87153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3">
                      <a:extLst>
                        <a:ext uri="{28A0092B-C50C-407E-A947-70E740481C1C}">
                          <a14:useLocalDpi xmlns:a14="http://schemas.microsoft.com/office/drawing/2010/main" val="0"/>
                        </a:ext>
                      </a:extLst>
                    </a:blip>
                    <a:srcRect l="4529" t="6206" r="6415" b="3975"/>
                    <a:stretch/>
                  </pic:blipFill>
                  <pic:spPr bwMode="auto">
                    <a:xfrm>
                      <a:off x="0" y="0"/>
                      <a:ext cx="6120384" cy="8727323"/>
                    </a:xfrm>
                    <a:prstGeom prst="rect">
                      <a:avLst/>
                    </a:prstGeom>
                    <a:noFill/>
                    <a:ln>
                      <a:noFill/>
                    </a:ln>
                    <a:extLst>
                      <a:ext uri="{53640926-AAD7-44D8-BBD7-CCE9431645EC}">
                        <a14:shadowObscured xmlns:a14="http://schemas.microsoft.com/office/drawing/2010/main"/>
                      </a:ext>
                    </a:extLst>
                  </pic:spPr>
                </pic:pic>
              </a:graphicData>
            </a:graphic>
          </wp:inline>
        </w:drawing>
      </w:r>
    </w:p>
    <w:p w14:paraId="2AC5960E" w14:textId="0950E5DB" w:rsidR="00AE30BF" w:rsidRPr="003D6E57" w:rsidRDefault="00AE30BF" w:rsidP="003D6E57">
      <w:pPr>
        <w:pStyle w:val="Level1DRAP"/>
        <w:numPr>
          <w:ilvl w:val="0"/>
          <w:numId w:val="0"/>
        </w:numPr>
        <w:ind w:left="720"/>
      </w:pPr>
      <w:bookmarkStart w:id="366" w:name="_Toc110329948"/>
      <w:r w:rsidRPr="003D6E57">
        <w:lastRenderedPageBreak/>
        <w:t>ANNEXURE C</w:t>
      </w:r>
      <w:bookmarkEnd w:id="366"/>
    </w:p>
    <w:p w14:paraId="1BF752B2" w14:textId="58345BCA" w:rsidR="00CF17B0" w:rsidRDefault="00AE30BF" w:rsidP="00F25F77">
      <w:pPr>
        <w:ind w:left="-426"/>
        <w:jc w:val="center"/>
      </w:pPr>
      <w:r>
        <w:rPr>
          <w:noProof/>
          <w:lang w:val="en-US"/>
        </w:rPr>
        <w:drawing>
          <wp:inline distT="0" distB="0" distL="0" distR="0" wp14:anchorId="6BB23BA2" wp14:editId="2FA69B3B">
            <wp:extent cx="4616583" cy="776646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60807" cy="7840861"/>
                    </a:xfrm>
                    <a:prstGeom prst="rect">
                      <a:avLst/>
                    </a:prstGeom>
                    <a:noFill/>
                    <a:ln>
                      <a:noFill/>
                    </a:ln>
                  </pic:spPr>
                </pic:pic>
              </a:graphicData>
            </a:graphic>
          </wp:inline>
        </w:drawing>
      </w:r>
    </w:p>
    <w:p w14:paraId="4C7B8BF2" w14:textId="77777777" w:rsidR="00CF17B0" w:rsidRDefault="00CF17B0" w:rsidP="00F25F77">
      <w:pPr>
        <w:ind w:left="-426"/>
        <w:jc w:val="center"/>
      </w:pPr>
    </w:p>
    <w:p w14:paraId="3AB496D6" w14:textId="77777777" w:rsidR="00CF17B0" w:rsidRDefault="00CF17B0" w:rsidP="00F25F77">
      <w:pPr>
        <w:ind w:left="-426"/>
        <w:jc w:val="center"/>
      </w:pPr>
    </w:p>
    <w:p w14:paraId="0E6F888D" w14:textId="5E107364" w:rsidR="00841482" w:rsidRPr="003D6E57" w:rsidRDefault="00841482" w:rsidP="003D6E57">
      <w:pPr>
        <w:pStyle w:val="Level1DRAP"/>
        <w:numPr>
          <w:ilvl w:val="0"/>
          <w:numId w:val="0"/>
        </w:numPr>
        <w:ind w:left="720"/>
      </w:pPr>
      <w:bookmarkStart w:id="367" w:name="_Toc110329949"/>
      <w:r w:rsidRPr="003D6E57">
        <w:lastRenderedPageBreak/>
        <w:t>ANNEXURE D</w:t>
      </w:r>
      <w:bookmarkEnd w:id="367"/>
    </w:p>
    <w:p w14:paraId="3827A017" w14:textId="4B867D2F" w:rsidR="00841482" w:rsidRPr="00841482" w:rsidRDefault="00841482" w:rsidP="00841482">
      <w:pPr>
        <w:jc w:val="center"/>
        <w:rPr>
          <w:b/>
          <w:bCs/>
          <w:sz w:val="32"/>
          <w:szCs w:val="32"/>
        </w:rPr>
      </w:pPr>
      <w:r w:rsidRPr="00841482">
        <w:rPr>
          <w:b/>
          <w:bCs/>
          <w:sz w:val="32"/>
          <w:szCs w:val="32"/>
        </w:rPr>
        <w:t>CIOMS FORM I</w:t>
      </w:r>
    </w:p>
    <w:p w14:paraId="50B1535A" w14:textId="77777777" w:rsidR="00CF17B0" w:rsidRDefault="00CF17B0" w:rsidP="007445CC"/>
    <w:p w14:paraId="3DD77930" w14:textId="6E667CE8" w:rsidR="00CF17B0" w:rsidRDefault="007445CC" w:rsidP="00F25F77">
      <w:pPr>
        <w:ind w:left="-426"/>
        <w:jc w:val="center"/>
      </w:pPr>
      <w:r w:rsidRPr="00B96AC9">
        <w:rPr>
          <w:noProof/>
          <w:lang w:val="en-US"/>
        </w:rPr>
        <w:drawing>
          <wp:inline distT="0" distB="0" distL="0" distR="0" wp14:anchorId="6CD2B462" wp14:editId="1C90360B">
            <wp:extent cx="5324475" cy="6953250"/>
            <wp:effectExtent l="0" t="0" r="9525" b="0"/>
            <wp:docPr id="168" name="Picture 168" descr="C:\Users\DirPharmacy_2\Desktop\cioms-form1 (1)\cioms-form1 (1)-1.jpg"/>
            <wp:cNvGraphicFramePr/>
            <a:graphic xmlns:a="http://schemas.openxmlformats.org/drawingml/2006/main">
              <a:graphicData uri="http://schemas.openxmlformats.org/drawingml/2006/picture">
                <pic:pic xmlns:pic="http://schemas.openxmlformats.org/drawingml/2006/picture">
                  <pic:nvPicPr>
                    <pic:cNvPr id="168" name="Picture 168" descr="C:\Users\DirPharmacy_2\Desktop\cioms-form1 (1)\cioms-form1 (1)-1.jpg"/>
                    <pic:cNvPicPr/>
                  </pic:nvPicPr>
                  <pic:blipFill rotWithShape="1">
                    <a:blip r:embed="rId125" cstate="print">
                      <a:extLst>
                        <a:ext uri="{28A0092B-C50C-407E-A947-70E740481C1C}">
                          <a14:useLocalDpi xmlns:a14="http://schemas.microsoft.com/office/drawing/2010/main" val="0"/>
                        </a:ext>
                      </a:extLst>
                    </a:blip>
                    <a:srcRect l="11134" t="8872" r="3355" b="7842"/>
                    <a:stretch/>
                  </pic:blipFill>
                  <pic:spPr bwMode="auto">
                    <a:xfrm>
                      <a:off x="0" y="0"/>
                      <a:ext cx="5324512" cy="6953298"/>
                    </a:xfrm>
                    <a:prstGeom prst="rect">
                      <a:avLst/>
                    </a:prstGeom>
                    <a:noFill/>
                    <a:ln>
                      <a:noFill/>
                    </a:ln>
                    <a:extLst>
                      <a:ext uri="{53640926-AAD7-44D8-BBD7-CCE9431645EC}">
                        <a14:shadowObscured xmlns:a14="http://schemas.microsoft.com/office/drawing/2010/main"/>
                      </a:ext>
                    </a:extLst>
                  </pic:spPr>
                </pic:pic>
              </a:graphicData>
            </a:graphic>
          </wp:inline>
        </w:drawing>
      </w:r>
    </w:p>
    <w:p w14:paraId="0E5109F2" w14:textId="77777777" w:rsidR="00CF17B0" w:rsidRDefault="00CF17B0" w:rsidP="00F25F77">
      <w:pPr>
        <w:ind w:left="-426"/>
        <w:jc w:val="center"/>
      </w:pPr>
    </w:p>
    <w:p w14:paraId="55F744C8" w14:textId="77777777" w:rsidR="00CF17B0" w:rsidRDefault="00CF17B0" w:rsidP="00F25F77">
      <w:pPr>
        <w:ind w:left="-426"/>
        <w:jc w:val="center"/>
      </w:pPr>
    </w:p>
    <w:p w14:paraId="4AF21F11" w14:textId="77777777" w:rsidR="003563BF" w:rsidRDefault="003563BF" w:rsidP="00F25F77">
      <w:pPr>
        <w:ind w:left="-426"/>
        <w:jc w:val="center"/>
      </w:pPr>
    </w:p>
    <w:p w14:paraId="459EAD83" w14:textId="77777777" w:rsidR="003563BF" w:rsidRDefault="003563BF" w:rsidP="00F25F77">
      <w:pPr>
        <w:ind w:left="-426"/>
        <w:jc w:val="center"/>
      </w:pPr>
    </w:p>
    <w:p w14:paraId="7373485D" w14:textId="77777777" w:rsidR="003563BF" w:rsidRDefault="003563BF" w:rsidP="00F25F77">
      <w:pPr>
        <w:ind w:left="-426"/>
        <w:jc w:val="center"/>
      </w:pPr>
    </w:p>
    <w:p w14:paraId="28AC0675" w14:textId="77777777" w:rsidR="003563BF" w:rsidRDefault="003563BF" w:rsidP="00F25F77">
      <w:pPr>
        <w:ind w:left="-426"/>
        <w:jc w:val="center"/>
      </w:pPr>
    </w:p>
    <w:p w14:paraId="6A8074EB" w14:textId="77777777" w:rsidR="003563BF" w:rsidRDefault="003563BF" w:rsidP="00F25F77">
      <w:pPr>
        <w:ind w:left="-426"/>
        <w:jc w:val="center"/>
      </w:pPr>
    </w:p>
    <w:p w14:paraId="5D1240F9" w14:textId="77777777" w:rsidR="003563BF" w:rsidRDefault="003563BF" w:rsidP="00F25F77">
      <w:pPr>
        <w:ind w:left="-426"/>
        <w:jc w:val="center"/>
      </w:pPr>
    </w:p>
    <w:p w14:paraId="0A168B85" w14:textId="77777777" w:rsidR="00CF17B0" w:rsidRDefault="00CF17B0" w:rsidP="00F25F77">
      <w:pPr>
        <w:ind w:left="-426"/>
        <w:jc w:val="center"/>
      </w:pPr>
    </w:p>
    <w:p w14:paraId="7A2C493B" w14:textId="77777777" w:rsidR="00CF17B0" w:rsidRDefault="00CF17B0" w:rsidP="00F25F77">
      <w:pPr>
        <w:ind w:left="-426"/>
        <w:jc w:val="center"/>
      </w:pPr>
    </w:p>
    <w:p w14:paraId="10026315" w14:textId="77777777" w:rsidR="00CF17B0" w:rsidRDefault="00CF17B0" w:rsidP="00F25F77">
      <w:pPr>
        <w:ind w:left="-426"/>
        <w:jc w:val="center"/>
      </w:pPr>
    </w:p>
    <w:p w14:paraId="469FDFD7" w14:textId="77777777" w:rsidR="00CF17B0" w:rsidRDefault="00CF17B0" w:rsidP="00F25F77">
      <w:pPr>
        <w:ind w:left="-426"/>
        <w:jc w:val="center"/>
      </w:pPr>
    </w:p>
    <w:p w14:paraId="40D33E73" w14:textId="77777777" w:rsidR="00FE64AC" w:rsidRDefault="00FE64AC" w:rsidP="00CF17B0">
      <w:pPr>
        <w:jc w:val="center"/>
        <w:rPr>
          <w:b/>
          <w:sz w:val="26"/>
          <w:szCs w:val="24"/>
        </w:rPr>
      </w:pPr>
    </w:p>
    <w:p w14:paraId="6392113A" w14:textId="77777777" w:rsidR="00FE64AC" w:rsidRDefault="00FE64AC" w:rsidP="00CF17B0">
      <w:pPr>
        <w:jc w:val="center"/>
        <w:rPr>
          <w:b/>
          <w:sz w:val="26"/>
          <w:szCs w:val="24"/>
        </w:rPr>
      </w:pPr>
    </w:p>
    <w:p w14:paraId="35D46433" w14:textId="77777777" w:rsidR="00FE64AC" w:rsidRDefault="00FE64AC" w:rsidP="00CF17B0">
      <w:pPr>
        <w:jc w:val="center"/>
        <w:rPr>
          <w:b/>
          <w:sz w:val="26"/>
          <w:szCs w:val="24"/>
        </w:rPr>
      </w:pPr>
    </w:p>
    <w:p w14:paraId="13A703D1" w14:textId="77777777" w:rsidR="00FE64AC" w:rsidRDefault="00FE64AC" w:rsidP="00CF17B0">
      <w:pPr>
        <w:jc w:val="center"/>
        <w:rPr>
          <w:b/>
          <w:sz w:val="26"/>
          <w:szCs w:val="24"/>
        </w:rPr>
      </w:pPr>
    </w:p>
    <w:p w14:paraId="4C226010" w14:textId="77777777" w:rsidR="00FE64AC" w:rsidRDefault="00FE64AC" w:rsidP="00CF17B0">
      <w:pPr>
        <w:jc w:val="center"/>
        <w:rPr>
          <w:b/>
          <w:sz w:val="26"/>
          <w:szCs w:val="24"/>
        </w:rPr>
      </w:pPr>
    </w:p>
    <w:p w14:paraId="6919B445" w14:textId="77777777" w:rsidR="00FE64AC" w:rsidRDefault="00FE64AC" w:rsidP="00CF17B0">
      <w:pPr>
        <w:jc w:val="center"/>
        <w:rPr>
          <w:b/>
          <w:sz w:val="26"/>
          <w:szCs w:val="24"/>
        </w:rPr>
      </w:pPr>
    </w:p>
    <w:p w14:paraId="4E9C70B5" w14:textId="77777777" w:rsidR="00FE64AC" w:rsidRDefault="00FE64AC" w:rsidP="00CF17B0">
      <w:pPr>
        <w:jc w:val="center"/>
        <w:rPr>
          <w:b/>
          <w:sz w:val="26"/>
          <w:szCs w:val="24"/>
        </w:rPr>
      </w:pPr>
    </w:p>
    <w:p w14:paraId="1F0D31E4" w14:textId="77777777" w:rsidR="00FE64AC" w:rsidRDefault="00FE64AC" w:rsidP="00CF17B0">
      <w:pPr>
        <w:jc w:val="center"/>
        <w:rPr>
          <w:b/>
          <w:sz w:val="26"/>
          <w:szCs w:val="24"/>
        </w:rPr>
      </w:pPr>
    </w:p>
    <w:p w14:paraId="736E166E" w14:textId="77777777" w:rsidR="00FE64AC" w:rsidRDefault="00FE64AC" w:rsidP="00CF17B0">
      <w:pPr>
        <w:jc w:val="center"/>
        <w:rPr>
          <w:b/>
          <w:sz w:val="26"/>
          <w:szCs w:val="24"/>
        </w:rPr>
      </w:pPr>
    </w:p>
    <w:p w14:paraId="4A40864A" w14:textId="77777777" w:rsidR="00FE64AC" w:rsidRDefault="00FE64AC" w:rsidP="00CF17B0">
      <w:pPr>
        <w:jc w:val="center"/>
        <w:rPr>
          <w:b/>
          <w:sz w:val="26"/>
          <w:szCs w:val="24"/>
        </w:rPr>
      </w:pPr>
    </w:p>
    <w:p w14:paraId="17243C46" w14:textId="77777777" w:rsidR="00FE64AC" w:rsidRDefault="00FE64AC" w:rsidP="00CF17B0">
      <w:pPr>
        <w:jc w:val="center"/>
        <w:rPr>
          <w:b/>
          <w:sz w:val="26"/>
          <w:szCs w:val="24"/>
        </w:rPr>
      </w:pPr>
    </w:p>
    <w:p w14:paraId="08A40591" w14:textId="77777777" w:rsidR="00FE64AC" w:rsidRDefault="00FE64AC" w:rsidP="00CF17B0">
      <w:pPr>
        <w:jc w:val="center"/>
        <w:rPr>
          <w:b/>
          <w:sz w:val="26"/>
          <w:szCs w:val="24"/>
        </w:rPr>
      </w:pPr>
    </w:p>
    <w:p w14:paraId="252A8EB1" w14:textId="77777777" w:rsidR="00FE64AC" w:rsidRDefault="00FE64AC" w:rsidP="00CF17B0">
      <w:pPr>
        <w:jc w:val="center"/>
        <w:rPr>
          <w:b/>
          <w:sz w:val="26"/>
          <w:szCs w:val="24"/>
        </w:rPr>
      </w:pPr>
    </w:p>
    <w:p w14:paraId="4EEA85B1" w14:textId="77777777" w:rsidR="00FE64AC" w:rsidRDefault="00FE64AC" w:rsidP="00CF17B0">
      <w:pPr>
        <w:jc w:val="center"/>
        <w:rPr>
          <w:b/>
          <w:sz w:val="26"/>
          <w:szCs w:val="24"/>
        </w:rPr>
      </w:pPr>
    </w:p>
    <w:p w14:paraId="1ED1A36E" w14:textId="77777777" w:rsidR="00FE64AC" w:rsidRDefault="00FE64AC" w:rsidP="00CF17B0">
      <w:pPr>
        <w:jc w:val="center"/>
        <w:rPr>
          <w:b/>
          <w:sz w:val="26"/>
          <w:szCs w:val="24"/>
        </w:rPr>
      </w:pPr>
    </w:p>
    <w:p w14:paraId="26887272" w14:textId="77777777" w:rsidR="00FE64AC" w:rsidRDefault="00FE64AC" w:rsidP="00CF17B0">
      <w:pPr>
        <w:jc w:val="center"/>
        <w:rPr>
          <w:b/>
          <w:sz w:val="26"/>
          <w:szCs w:val="24"/>
        </w:rPr>
      </w:pPr>
    </w:p>
    <w:p w14:paraId="523264D5" w14:textId="77777777" w:rsidR="00FE64AC" w:rsidRDefault="00FE64AC" w:rsidP="00CF17B0">
      <w:pPr>
        <w:jc w:val="center"/>
        <w:rPr>
          <w:b/>
          <w:sz w:val="26"/>
          <w:szCs w:val="24"/>
        </w:rPr>
      </w:pPr>
    </w:p>
    <w:p w14:paraId="6E371ECC" w14:textId="77777777" w:rsidR="00FE64AC" w:rsidRDefault="00FE64AC" w:rsidP="00CF17B0">
      <w:pPr>
        <w:jc w:val="center"/>
        <w:rPr>
          <w:b/>
          <w:sz w:val="26"/>
          <w:szCs w:val="24"/>
        </w:rPr>
      </w:pPr>
    </w:p>
    <w:p w14:paraId="6416274B" w14:textId="77777777" w:rsidR="00FE64AC" w:rsidRDefault="00FE64AC" w:rsidP="00CF17B0">
      <w:pPr>
        <w:jc w:val="center"/>
        <w:rPr>
          <w:b/>
          <w:sz w:val="26"/>
          <w:szCs w:val="24"/>
        </w:rPr>
      </w:pPr>
    </w:p>
    <w:p w14:paraId="1F1F7B92" w14:textId="77777777" w:rsidR="00FE64AC" w:rsidRDefault="00FE64AC" w:rsidP="00CF17B0">
      <w:pPr>
        <w:jc w:val="center"/>
        <w:rPr>
          <w:b/>
          <w:sz w:val="26"/>
          <w:szCs w:val="24"/>
        </w:rPr>
      </w:pPr>
    </w:p>
    <w:p w14:paraId="76C836F8" w14:textId="77777777" w:rsidR="00FE64AC" w:rsidRDefault="00FE64AC" w:rsidP="00CF17B0">
      <w:pPr>
        <w:jc w:val="center"/>
        <w:rPr>
          <w:b/>
          <w:sz w:val="26"/>
          <w:szCs w:val="24"/>
        </w:rPr>
      </w:pPr>
    </w:p>
    <w:p w14:paraId="333C2EBD" w14:textId="77777777" w:rsidR="00FE64AC" w:rsidRDefault="00FE64AC" w:rsidP="00CF17B0">
      <w:pPr>
        <w:jc w:val="center"/>
        <w:rPr>
          <w:b/>
          <w:sz w:val="26"/>
          <w:szCs w:val="24"/>
        </w:rPr>
      </w:pPr>
    </w:p>
    <w:p w14:paraId="14B36D28" w14:textId="77777777" w:rsidR="00FE64AC" w:rsidRDefault="00FE64AC" w:rsidP="00CF17B0">
      <w:pPr>
        <w:jc w:val="center"/>
        <w:rPr>
          <w:b/>
          <w:sz w:val="26"/>
          <w:szCs w:val="24"/>
        </w:rPr>
      </w:pPr>
    </w:p>
    <w:p w14:paraId="27701866" w14:textId="77777777" w:rsidR="00FE64AC" w:rsidRDefault="00FE64AC" w:rsidP="00CF17B0">
      <w:pPr>
        <w:jc w:val="center"/>
        <w:rPr>
          <w:b/>
          <w:sz w:val="26"/>
          <w:szCs w:val="24"/>
        </w:rPr>
      </w:pPr>
    </w:p>
    <w:p w14:paraId="3F36346F" w14:textId="77777777" w:rsidR="00FE64AC" w:rsidRDefault="00FE64AC" w:rsidP="00CF17B0">
      <w:pPr>
        <w:jc w:val="center"/>
        <w:rPr>
          <w:b/>
          <w:sz w:val="26"/>
          <w:szCs w:val="24"/>
        </w:rPr>
      </w:pPr>
    </w:p>
    <w:p w14:paraId="3F4FEF69" w14:textId="77777777" w:rsidR="00BF56FC" w:rsidRDefault="00BF56FC" w:rsidP="00CF17B0">
      <w:pPr>
        <w:jc w:val="center"/>
        <w:rPr>
          <w:b/>
          <w:sz w:val="26"/>
          <w:szCs w:val="24"/>
        </w:rPr>
      </w:pPr>
    </w:p>
    <w:p w14:paraId="34C220B0" w14:textId="77777777" w:rsidR="00BF56FC" w:rsidRDefault="00BF56FC" w:rsidP="00CF17B0">
      <w:pPr>
        <w:jc w:val="center"/>
        <w:rPr>
          <w:b/>
          <w:sz w:val="26"/>
          <w:szCs w:val="24"/>
        </w:rPr>
      </w:pPr>
    </w:p>
    <w:p w14:paraId="0BDFBAE6" w14:textId="77777777" w:rsidR="00BF56FC" w:rsidRDefault="00BF56FC" w:rsidP="00CF17B0">
      <w:pPr>
        <w:jc w:val="center"/>
        <w:rPr>
          <w:b/>
          <w:sz w:val="26"/>
          <w:szCs w:val="24"/>
        </w:rPr>
      </w:pPr>
    </w:p>
    <w:p w14:paraId="353F84C0" w14:textId="77777777" w:rsidR="00BF56FC" w:rsidRDefault="00BF56FC" w:rsidP="00CF17B0">
      <w:pPr>
        <w:jc w:val="center"/>
        <w:rPr>
          <w:b/>
          <w:sz w:val="26"/>
          <w:szCs w:val="24"/>
        </w:rPr>
      </w:pPr>
    </w:p>
    <w:p w14:paraId="0E14570D" w14:textId="77777777" w:rsidR="00BF56FC" w:rsidRDefault="00BF56FC" w:rsidP="00CF17B0">
      <w:pPr>
        <w:jc w:val="center"/>
        <w:rPr>
          <w:b/>
          <w:sz w:val="26"/>
          <w:szCs w:val="24"/>
        </w:rPr>
      </w:pPr>
    </w:p>
    <w:p w14:paraId="2923EB57" w14:textId="77777777" w:rsidR="00BF56FC" w:rsidRDefault="00BF56FC" w:rsidP="00CF17B0">
      <w:pPr>
        <w:jc w:val="center"/>
        <w:rPr>
          <w:b/>
          <w:sz w:val="26"/>
          <w:szCs w:val="24"/>
        </w:rPr>
      </w:pPr>
    </w:p>
    <w:p w14:paraId="1E5B9D1A" w14:textId="02CDB84C" w:rsidR="00CF17B0" w:rsidRPr="00B42847" w:rsidRDefault="003563BF" w:rsidP="00CF17B0">
      <w:pPr>
        <w:jc w:val="center"/>
        <w:rPr>
          <w:b/>
          <w:sz w:val="26"/>
          <w:szCs w:val="24"/>
        </w:rPr>
      </w:pPr>
      <w:r w:rsidRPr="00B42847">
        <w:rPr>
          <w:b/>
          <w:sz w:val="26"/>
          <w:szCs w:val="24"/>
        </w:rPr>
        <w:t>DRUG REGULATORY</w:t>
      </w:r>
      <w:r w:rsidR="001D539D" w:rsidRPr="00B42847">
        <w:rPr>
          <w:b/>
          <w:sz w:val="26"/>
          <w:szCs w:val="24"/>
        </w:rPr>
        <w:t xml:space="preserve"> AUTHORITY</w:t>
      </w:r>
      <w:r w:rsidRPr="00B42847">
        <w:rPr>
          <w:b/>
          <w:sz w:val="26"/>
          <w:szCs w:val="24"/>
        </w:rPr>
        <w:t xml:space="preserve"> OF PAKISTAN</w:t>
      </w:r>
    </w:p>
    <w:p w14:paraId="06DD3B86" w14:textId="4DB5C904" w:rsidR="00CF17B0" w:rsidRPr="00D06259" w:rsidRDefault="00CF17B0" w:rsidP="003563BF">
      <w:pPr>
        <w:jc w:val="center"/>
        <w:rPr>
          <w:sz w:val="24"/>
        </w:rPr>
      </w:pPr>
      <w:r w:rsidRPr="00D06259">
        <w:rPr>
          <w:sz w:val="24"/>
        </w:rPr>
        <w:t xml:space="preserve">TF Complex, 7 Mauve </w:t>
      </w:r>
      <w:proofErr w:type="gramStart"/>
      <w:r w:rsidRPr="00D06259">
        <w:rPr>
          <w:sz w:val="24"/>
        </w:rPr>
        <w:t xml:space="preserve">Area, </w:t>
      </w:r>
      <w:r w:rsidR="00BF56FC">
        <w:rPr>
          <w:sz w:val="24"/>
        </w:rPr>
        <w:t xml:space="preserve">  </w:t>
      </w:r>
      <w:proofErr w:type="gramEnd"/>
      <w:r w:rsidR="00BF56FC">
        <w:rPr>
          <w:sz w:val="24"/>
        </w:rPr>
        <w:t xml:space="preserve">              </w:t>
      </w:r>
      <w:r w:rsidRPr="00D06259">
        <w:rPr>
          <w:sz w:val="24"/>
        </w:rPr>
        <w:t>Sector G-9/4,</w:t>
      </w:r>
      <w:r w:rsidR="003563BF">
        <w:rPr>
          <w:sz w:val="24"/>
        </w:rPr>
        <w:t xml:space="preserve"> </w:t>
      </w:r>
      <w:r w:rsidRPr="00D06259">
        <w:rPr>
          <w:sz w:val="24"/>
        </w:rPr>
        <w:t>Islamabad.</w:t>
      </w:r>
    </w:p>
    <w:p w14:paraId="132131DC" w14:textId="16DA1785" w:rsidR="00CF17B0" w:rsidRPr="00D06259" w:rsidRDefault="00CF17B0" w:rsidP="00CF17B0">
      <w:pPr>
        <w:jc w:val="center"/>
        <w:rPr>
          <w:sz w:val="24"/>
        </w:rPr>
      </w:pPr>
      <w:r w:rsidRPr="00D06259">
        <w:rPr>
          <w:sz w:val="24"/>
        </w:rPr>
        <w:t>Phone No. 051-9107413</w:t>
      </w:r>
      <w:r w:rsidR="00BF56FC">
        <w:rPr>
          <w:sz w:val="24"/>
        </w:rPr>
        <w:t xml:space="preserve">                         </w:t>
      </w:r>
      <w:r w:rsidRPr="00D06259">
        <w:rPr>
          <w:sz w:val="24"/>
        </w:rPr>
        <w:t xml:space="preserve">Email: </w:t>
      </w:r>
      <w:hyperlink r:id="rId126" w:history="1">
        <w:r w:rsidRPr="00D06259">
          <w:rPr>
            <w:rStyle w:val="Hyperlink"/>
            <w:sz w:val="24"/>
          </w:rPr>
          <w:t>npc@dra.gov.pk</w:t>
        </w:r>
      </w:hyperlink>
    </w:p>
    <w:p w14:paraId="7B8275FF" w14:textId="77777777" w:rsidR="00CF17B0" w:rsidRPr="00D06259" w:rsidRDefault="00CF17B0" w:rsidP="00CF17B0">
      <w:pPr>
        <w:widowControl/>
        <w:spacing w:after="160" w:line="259" w:lineRule="auto"/>
        <w:jc w:val="center"/>
        <w:rPr>
          <w:rStyle w:val="Hyperlink"/>
          <w:sz w:val="24"/>
        </w:rPr>
      </w:pPr>
      <w:r w:rsidRPr="00D06259">
        <w:rPr>
          <w:sz w:val="24"/>
        </w:rPr>
        <w:t xml:space="preserve">Website: </w:t>
      </w:r>
      <w:hyperlink r:id="rId127" w:history="1">
        <w:r w:rsidRPr="00D06259">
          <w:rPr>
            <w:rStyle w:val="Hyperlink"/>
            <w:sz w:val="24"/>
          </w:rPr>
          <w:t>www.dra.gov.pk</w:t>
        </w:r>
      </w:hyperlink>
    </w:p>
    <w:p w14:paraId="7E5B1252" w14:textId="4856FED8" w:rsidR="00CF17B0" w:rsidRPr="00CF17B0" w:rsidRDefault="00CF17B0" w:rsidP="00CF17B0">
      <w:pPr>
        <w:widowControl/>
        <w:spacing w:before="120" w:after="120" w:line="360" w:lineRule="auto"/>
        <w:jc w:val="both"/>
        <w:rPr>
          <w:sz w:val="24"/>
          <w:szCs w:val="24"/>
        </w:rPr>
      </w:pPr>
    </w:p>
    <w:sectPr w:rsidR="00CF17B0" w:rsidRPr="00CF17B0" w:rsidSect="00BF56FC">
      <w:pgSz w:w="12240" w:h="15840"/>
      <w:pgMar w:top="1282" w:right="1440" w:bottom="1138" w:left="1440" w:header="720" w:footer="432" w:gutter="0"/>
      <w:lnNumType w:countBy="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F8B1C" w14:textId="77777777" w:rsidR="00A069C7" w:rsidRDefault="00A069C7" w:rsidP="00EB1B6C">
      <w:r>
        <w:separator/>
      </w:r>
    </w:p>
  </w:endnote>
  <w:endnote w:type="continuationSeparator" w:id="0">
    <w:p w14:paraId="66D2486A" w14:textId="77777777" w:rsidR="00A069C7" w:rsidRDefault="00A069C7" w:rsidP="00EB1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lantin Light">
    <w:altName w:val="Plantin Light"/>
    <w:panose1 w:val="00000000000000000000"/>
    <w:charset w:val="00"/>
    <w:family w:val="roman"/>
    <w:notTrueType/>
    <w:pitch w:val="default"/>
    <w:sig w:usb0="00000003" w:usb1="00000000" w:usb2="00000000" w:usb3="00000000" w:csb0="00000001"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CondensedBlack">
    <w:altName w:val="Helvetica CondensedBlac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083766"/>
      <w:docPartObj>
        <w:docPartGallery w:val="Page Numbers (Bottom of Page)"/>
        <w:docPartUnique/>
      </w:docPartObj>
    </w:sdtPr>
    <w:sdtContent>
      <w:sdt>
        <w:sdtPr>
          <w:id w:val="1728636285"/>
          <w:docPartObj>
            <w:docPartGallery w:val="Page Numbers (Top of Page)"/>
            <w:docPartUnique/>
          </w:docPartObj>
        </w:sdtPr>
        <w:sdtContent>
          <w:p w14:paraId="70D1EBBB" w14:textId="77777777" w:rsidR="00E03A13" w:rsidRDefault="00E03A1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16</w:t>
            </w:r>
            <w:r>
              <w:rPr>
                <w:b/>
                <w:bCs/>
                <w:sz w:val="24"/>
                <w:szCs w:val="24"/>
              </w:rPr>
              <w:fldChar w:fldCharType="end"/>
            </w:r>
          </w:p>
        </w:sdtContent>
      </w:sdt>
    </w:sdtContent>
  </w:sdt>
  <w:p w14:paraId="404D55A0" w14:textId="3AD282D1" w:rsidR="00E03A13" w:rsidRPr="00941959" w:rsidRDefault="00E03A13">
    <w:pPr>
      <w:pStyle w:val="Footer"/>
      <w:rPr>
        <w:color w:val="FF0000"/>
      </w:rPr>
    </w:pPr>
    <w:r>
      <w:t xml:space="preserve">National Pharmacovigilance Centre, DRAP                                                      Effective 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9BE91" w14:textId="77777777" w:rsidR="00A069C7" w:rsidRDefault="00A069C7" w:rsidP="00EB1B6C">
      <w:r>
        <w:separator/>
      </w:r>
    </w:p>
  </w:footnote>
  <w:footnote w:type="continuationSeparator" w:id="0">
    <w:p w14:paraId="729CAEDB" w14:textId="77777777" w:rsidR="00A069C7" w:rsidRDefault="00A069C7" w:rsidP="00EB1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6DE5" w14:textId="2C688A3C" w:rsidR="00E03A13" w:rsidRDefault="00E03A13">
    <w:pPr>
      <w:pStyle w:val="Header"/>
    </w:pPr>
    <w:r>
      <w:rPr>
        <w:noProof/>
      </w:rPr>
      <w:pict w14:anchorId="1A14D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85172" o:spid="_x0000_s2050" type="#_x0000_t136" style="position:absolute;margin-left:0;margin-top:0;width:471.3pt;height:188.5pt;rotation:315;z-index:-251653120;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5AFEB" w14:textId="77EF1312" w:rsidR="00E03A13" w:rsidRPr="004445FC" w:rsidRDefault="00E03A13" w:rsidP="004445FC">
    <w:r>
      <w:rPr>
        <w:noProof/>
      </w:rPr>
      <w:pict w14:anchorId="2B806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85173" o:spid="_x0000_s2051" type="#_x0000_t136" style="position:absolute;margin-left:0;margin-top:0;width:471.3pt;height:188.5pt;rotation:315;z-index:-251651072;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r w:rsidRPr="004445FC">
      <w:rPr>
        <w:noProof/>
        <w:lang w:val="en-US"/>
      </w:rPr>
      <mc:AlternateContent>
        <mc:Choice Requires="wps">
          <w:drawing>
            <wp:anchor distT="0" distB="0" distL="114300" distR="114300" simplePos="0" relativeHeight="251659264" behindDoc="0" locked="0" layoutInCell="1" allowOverlap="1" wp14:anchorId="103BE3F5" wp14:editId="0853E505">
              <wp:simplePos x="0" y="0"/>
              <wp:positionH relativeFrom="column">
                <wp:posOffset>5676900</wp:posOffset>
              </wp:positionH>
              <wp:positionV relativeFrom="paragraph">
                <wp:posOffset>-436880</wp:posOffset>
              </wp:positionV>
              <wp:extent cx="885825" cy="7524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885825" cy="752475"/>
                      </a:xfrm>
                      <a:prstGeom prst="rect">
                        <a:avLst/>
                      </a:prstGeom>
                      <a:solidFill>
                        <a:schemeClr val="lt1"/>
                      </a:solidFill>
                      <a:ln w="6350">
                        <a:noFill/>
                      </a:ln>
                    </wps:spPr>
                    <wps:txbx>
                      <w:txbxContent>
                        <w:p w14:paraId="376DDB5F" w14:textId="107B6C16" w:rsidR="00E03A13" w:rsidRDefault="00E03A13">
                          <w:r w:rsidRPr="00CA0509">
                            <w:rPr>
                              <w:noProof/>
                              <w:sz w:val="24"/>
                              <w:szCs w:val="24"/>
                              <w:lang w:val="en-US"/>
                            </w:rPr>
                            <w:drawing>
                              <wp:inline distT="0" distB="0" distL="0" distR="0" wp14:anchorId="69EE3F5D" wp14:editId="6E700223">
                                <wp:extent cx="790575" cy="7653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 LOGO.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866923" cy="8393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3BE3F5" id="_x0000_t202" coordsize="21600,21600" o:spt="202" path="m,l,21600r21600,l21600,xe">
              <v:stroke joinstyle="miter"/>
              <v:path gradientshapeok="t" o:connecttype="rect"/>
            </v:shapetype>
            <v:shape id="Text Box 4" o:spid="_x0000_s1027" type="#_x0000_t202" style="position:absolute;margin-left:447pt;margin-top:-34.4pt;width:69.75pt;height:5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" fillcolor="white [3201]" stroked="f" strokeweight=".5pt">
              <v:textbox>
                <w:txbxContent>
                  <w:p w14:paraId="376DDB5F" w14:textId="107B6C16" w:rsidR="00E03A13" w:rsidRDefault="00E03A13">
                    <w:r w:rsidRPr="00CA0509">
                      <w:rPr>
                        <w:noProof/>
                        <w:sz w:val="24"/>
                        <w:szCs w:val="24"/>
                        <w:lang w:val="en-US"/>
                      </w:rPr>
                      <w:drawing>
                        <wp:inline distT="0" distB="0" distL="0" distR="0" wp14:anchorId="69EE3F5D" wp14:editId="6E700223">
                          <wp:extent cx="790575" cy="7653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 LOGO.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866923" cy="839313"/>
                                  </a:xfrm>
                                  <a:prstGeom prst="rect">
                                    <a:avLst/>
                                  </a:prstGeom>
                                </pic:spPr>
                              </pic:pic>
                            </a:graphicData>
                          </a:graphic>
                        </wp:inline>
                      </w:drawing>
                    </w:r>
                  </w:p>
                </w:txbxContent>
              </v:textbox>
            </v:shape>
          </w:pict>
        </mc:Fallback>
      </mc:AlternateContent>
    </w:r>
    <w:r w:rsidRPr="004445FC">
      <w:rPr>
        <w:b/>
        <w:bCs/>
      </w:rPr>
      <w:t xml:space="preserve"> </w:t>
    </w:r>
    <w:r w:rsidRPr="004445FC">
      <w:t xml:space="preserve">Guidelines on National Pharmacovigilance System (Edition 02) </w:t>
    </w:r>
  </w:p>
  <w:p w14:paraId="6D76E15D" w14:textId="77777777" w:rsidR="00E03A13" w:rsidRDefault="00E03A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70161" w14:textId="271BDEBC" w:rsidR="00E03A13" w:rsidRDefault="00E03A13">
    <w:pPr>
      <w:pStyle w:val="Header"/>
    </w:pPr>
    <w:r>
      <w:rPr>
        <w:noProof/>
      </w:rPr>
      <w:pict w14:anchorId="2B9C5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85171" o:spid="_x0000_s2049" type="#_x0000_t136" style="position:absolute;margin-left:0;margin-top:0;width:471.3pt;height:188.5pt;rotation:315;z-index:-251655168;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744" w:hanging="567"/>
      </w:pPr>
      <w:rPr>
        <w:rFonts w:ascii="Symbol" w:hAnsi="Symbol" w:cs="Symbol"/>
        <w:b w:val="0"/>
        <w:bCs w:val="0"/>
        <w:w w:val="99"/>
        <w:sz w:val="22"/>
        <w:szCs w:val="22"/>
      </w:rPr>
    </w:lvl>
    <w:lvl w:ilvl="1">
      <w:numFmt w:val="bullet"/>
      <w:lvlText w:val="•"/>
      <w:lvlJc w:val="left"/>
      <w:pPr>
        <w:ind w:left="2454" w:hanging="567"/>
      </w:pPr>
    </w:lvl>
    <w:lvl w:ilvl="2">
      <w:numFmt w:val="bullet"/>
      <w:lvlText w:val="•"/>
      <w:lvlJc w:val="left"/>
      <w:pPr>
        <w:ind w:left="3169" w:hanging="567"/>
      </w:pPr>
    </w:lvl>
    <w:lvl w:ilvl="3">
      <w:numFmt w:val="bullet"/>
      <w:lvlText w:val="•"/>
      <w:lvlJc w:val="left"/>
      <w:pPr>
        <w:ind w:left="3883" w:hanging="567"/>
      </w:pPr>
    </w:lvl>
    <w:lvl w:ilvl="4">
      <w:numFmt w:val="bullet"/>
      <w:lvlText w:val="•"/>
      <w:lvlJc w:val="left"/>
      <w:pPr>
        <w:ind w:left="4598" w:hanging="567"/>
      </w:pPr>
    </w:lvl>
    <w:lvl w:ilvl="5">
      <w:numFmt w:val="bullet"/>
      <w:lvlText w:val="•"/>
      <w:lvlJc w:val="left"/>
      <w:pPr>
        <w:ind w:left="5313" w:hanging="567"/>
      </w:pPr>
    </w:lvl>
    <w:lvl w:ilvl="6">
      <w:numFmt w:val="bullet"/>
      <w:lvlText w:val="•"/>
      <w:lvlJc w:val="left"/>
      <w:pPr>
        <w:ind w:left="6027" w:hanging="567"/>
      </w:pPr>
    </w:lvl>
    <w:lvl w:ilvl="7">
      <w:numFmt w:val="bullet"/>
      <w:lvlText w:val="•"/>
      <w:lvlJc w:val="left"/>
      <w:pPr>
        <w:ind w:left="6742" w:hanging="567"/>
      </w:pPr>
    </w:lvl>
    <w:lvl w:ilvl="8">
      <w:numFmt w:val="bullet"/>
      <w:lvlText w:val="•"/>
      <w:lvlJc w:val="left"/>
      <w:pPr>
        <w:ind w:left="7457" w:hanging="567"/>
      </w:pPr>
    </w:lvl>
  </w:abstractNum>
  <w:abstractNum w:abstractNumId="1" w15:restartNumberingAfterBreak="0">
    <w:nsid w:val="00000403"/>
    <w:multiLevelType w:val="multilevel"/>
    <w:tmpl w:val="00000886"/>
    <w:lvl w:ilvl="0">
      <w:numFmt w:val="bullet"/>
      <w:lvlText w:val=""/>
      <w:lvlJc w:val="left"/>
      <w:pPr>
        <w:ind w:left="1744" w:hanging="567"/>
      </w:pPr>
      <w:rPr>
        <w:rFonts w:ascii="Symbol" w:hAnsi="Symbol" w:cs="Symbol"/>
        <w:b w:val="0"/>
        <w:bCs w:val="0"/>
        <w:w w:val="99"/>
        <w:sz w:val="22"/>
        <w:szCs w:val="22"/>
      </w:rPr>
    </w:lvl>
    <w:lvl w:ilvl="1">
      <w:numFmt w:val="bullet"/>
      <w:lvlText w:val="•"/>
      <w:lvlJc w:val="left"/>
      <w:pPr>
        <w:ind w:left="2454" w:hanging="567"/>
      </w:pPr>
    </w:lvl>
    <w:lvl w:ilvl="2">
      <w:numFmt w:val="bullet"/>
      <w:lvlText w:val="•"/>
      <w:lvlJc w:val="left"/>
      <w:pPr>
        <w:ind w:left="3169" w:hanging="567"/>
      </w:pPr>
    </w:lvl>
    <w:lvl w:ilvl="3">
      <w:numFmt w:val="bullet"/>
      <w:lvlText w:val="•"/>
      <w:lvlJc w:val="left"/>
      <w:pPr>
        <w:ind w:left="3883" w:hanging="567"/>
      </w:pPr>
    </w:lvl>
    <w:lvl w:ilvl="4">
      <w:numFmt w:val="bullet"/>
      <w:lvlText w:val="•"/>
      <w:lvlJc w:val="left"/>
      <w:pPr>
        <w:ind w:left="4598" w:hanging="567"/>
      </w:pPr>
    </w:lvl>
    <w:lvl w:ilvl="5">
      <w:numFmt w:val="bullet"/>
      <w:lvlText w:val="•"/>
      <w:lvlJc w:val="left"/>
      <w:pPr>
        <w:ind w:left="5313" w:hanging="567"/>
      </w:pPr>
    </w:lvl>
    <w:lvl w:ilvl="6">
      <w:numFmt w:val="bullet"/>
      <w:lvlText w:val="•"/>
      <w:lvlJc w:val="left"/>
      <w:pPr>
        <w:ind w:left="6027" w:hanging="567"/>
      </w:pPr>
    </w:lvl>
    <w:lvl w:ilvl="7">
      <w:numFmt w:val="bullet"/>
      <w:lvlText w:val="•"/>
      <w:lvlJc w:val="left"/>
      <w:pPr>
        <w:ind w:left="6742" w:hanging="567"/>
      </w:pPr>
    </w:lvl>
    <w:lvl w:ilvl="8">
      <w:numFmt w:val="bullet"/>
      <w:lvlText w:val="•"/>
      <w:lvlJc w:val="left"/>
      <w:pPr>
        <w:ind w:left="7457" w:hanging="567"/>
      </w:pPr>
    </w:lvl>
  </w:abstractNum>
  <w:abstractNum w:abstractNumId="2" w15:restartNumberingAfterBreak="0">
    <w:nsid w:val="00E73BE0"/>
    <w:multiLevelType w:val="hybridMultilevel"/>
    <w:tmpl w:val="DDAEDF86"/>
    <w:lvl w:ilvl="0" w:tplc="1DB2BD76">
      <w:start w:val="1"/>
      <w:numFmt w:val="decimal"/>
      <w:pStyle w:val="Level2"/>
      <w:lvlText w:val="1.%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8FD0D01"/>
    <w:multiLevelType w:val="hybridMultilevel"/>
    <w:tmpl w:val="2BE415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30395D"/>
    <w:multiLevelType w:val="multilevel"/>
    <w:tmpl w:val="1DB62F10"/>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9967712"/>
    <w:multiLevelType w:val="hybridMultilevel"/>
    <w:tmpl w:val="7910F71A"/>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A712A"/>
    <w:multiLevelType w:val="hybridMultilevel"/>
    <w:tmpl w:val="ED5CA16A"/>
    <w:lvl w:ilvl="0" w:tplc="E7949BEE">
      <w:start w:val="1"/>
      <w:numFmt w:val="lowerRoman"/>
      <w:lvlText w:val="%1."/>
      <w:lvlJc w:val="righ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710D7"/>
    <w:multiLevelType w:val="hybridMultilevel"/>
    <w:tmpl w:val="581A6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0702D4"/>
    <w:multiLevelType w:val="hybridMultilevel"/>
    <w:tmpl w:val="71647AA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05C3FB6"/>
    <w:multiLevelType w:val="hybridMultilevel"/>
    <w:tmpl w:val="6FB4CB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7D32B2"/>
    <w:multiLevelType w:val="hybridMultilevel"/>
    <w:tmpl w:val="3B7EB9A0"/>
    <w:lvl w:ilvl="0" w:tplc="0F128A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3985121"/>
    <w:multiLevelType w:val="hybridMultilevel"/>
    <w:tmpl w:val="F28EF01E"/>
    <w:lvl w:ilvl="0" w:tplc="57746B6A">
      <w:start w:val="1"/>
      <w:numFmt w:val="decimal"/>
      <w:pStyle w:val="Level1DRAP"/>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D05327"/>
    <w:multiLevelType w:val="hybridMultilevel"/>
    <w:tmpl w:val="966AF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263C7"/>
    <w:multiLevelType w:val="hybridMultilevel"/>
    <w:tmpl w:val="4162D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D8593D"/>
    <w:multiLevelType w:val="hybridMultilevel"/>
    <w:tmpl w:val="70001C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FF1DB6"/>
    <w:multiLevelType w:val="hybridMultilevel"/>
    <w:tmpl w:val="269A56CA"/>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9E0B89"/>
    <w:multiLevelType w:val="hybridMultilevel"/>
    <w:tmpl w:val="874CE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A22A1"/>
    <w:multiLevelType w:val="hybridMultilevel"/>
    <w:tmpl w:val="5AF86100"/>
    <w:lvl w:ilvl="0" w:tplc="4768D7B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7C80C41"/>
    <w:multiLevelType w:val="hybridMultilevel"/>
    <w:tmpl w:val="B73063A0"/>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9667D6"/>
    <w:multiLevelType w:val="multilevel"/>
    <w:tmpl w:val="A8BA712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9075469"/>
    <w:multiLevelType w:val="hybridMultilevel"/>
    <w:tmpl w:val="0C22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4D30E5"/>
    <w:multiLevelType w:val="hybridMultilevel"/>
    <w:tmpl w:val="1E784B9A"/>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6A799C"/>
    <w:multiLevelType w:val="hybridMultilevel"/>
    <w:tmpl w:val="5A3068F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B6936A9"/>
    <w:multiLevelType w:val="multilevel"/>
    <w:tmpl w:val="2CC615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bullet"/>
      <w:lvlText w:val=""/>
      <w:lvlJc w:val="left"/>
      <w:pPr>
        <w:ind w:left="1224" w:hanging="504"/>
      </w:pPr>
      <w:rPr>
        <w:rFonts w:ascii="Wingdings" w:hAnsi="Wingdings" w:hint="default"/>
        <w:b w:val="0"/>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C842323"/>
    <w:multiLevelType w:val="hybridMultilevel"/>
    <w:tmpl w:val="D90C295C"/>
    <w:lvl w:ilvl="0" w:tplc="2A1E2BD4">
      <w:start w:val="1"/>
      <w:numFmt w:val="low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374048"/>
    <w:multiLevelType w:val="hybridMultilevel"/>
    <w:tmpl w:val="9D428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B913D1"/>
    <w:multiLevelType w:val="hybridMultilevel"/>
    <w:tmpl w:val="F026A61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2733E6B"/>
    <w:multiLevelType w:val="hybridMultilevel"/>
    <w:tmpl w:val="B284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9A6039"/>
    <w:multiLevelType w:val="hybridMultilevel"/>
    <w:tmpl w:val="6568CE4C"/>
    <w:lvl w:ilvl="0" w:tplc="C14C1A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BF7472"/>
    <w:multiLevelType w:val="hybridMultilevel"/>
    <w:tmpl w:val="41DE4248"/>
    <w:lvl w:ilvl="0" w:tplc="2C529260">
      <w:start w:val="1"/>
      <w:numFmt w:val="decimal"/>
      <w:lvlText w:val="%1."/>
      <w:lvlJc w:val="left"/>
      <w:pPr>
        <w:ind w:left="720" w:hanging="360"/>
      </w:pPr>
      <w:rPr>
        <w:b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0914A8"/>
    <w:multiLevelType w:val="hybridMultilevel"/>
    <w:tmpl w:val="2070BCA0"/>
    <w:lvl w:ilvl="0" w:tplc="04090019">
      <w:start w:val="1"/>
      <w:numFmt w:val="lowerLetter"/>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15:restartNumberingAfterBreak="0">
    <w:nsid w:val="28E172F3"/>
    <w:multiLevelType w:val="multilevel"/>
    <w:tmpl w:val="82EC3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D513BD5"/>
    <w:multiLevelType w:val="hybridMultilevel"/>
    <w:tmpl w:val="51D27814"/>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A06B37"/>
    <w:multiLevelType w:val="hybridMultilevel"/>
    <w:tmpl w:val="94D2CEA6"/>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7E5903"/>
    <w:multiLevelType w:val="hybridMultilevel"/>
    <w:tmpl w:val="C9FA0202"/>
    <w:lvl w:ilvl="0" w:tplc="519641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CB4685"/>
    <w:multiLevelType w:val="hybridMultilevel"/>
    <w:tmpl w:val="5BF4F2F2"/>
    <w:lvl w:ilvl="0" w:tplc="04090005">
      <w:start w:val="1"/>
      <w:numFmt w:val="bullet"/>
      <w:lvlText w:val=""/>
      <w:lvlJc w:val="left"/>
      <w:pPr>
        <w:tabs>
          <w:tab w:val="num" w:pos="720"/>
        </w:tabs>
        <w:ind w:left="720" w:hanging="360"/>
      </w:pPr>
      <w:rPr>
        <w:rFonts w:ascii="Wingdings" w:hAnsi="Wingdings" w:hint="default"/>
      </w:rPr>
    </w:lvl>
    <w:lvl w:ilvl="1" w:tplc="14F8D044" w:tentative="1">
      <w:start w:val="1"/>
      <w:numFmt w:val="bullet"/>
      <w:lvlText w:val=""/>
      <w:lvlJc w:val="left"/>
      <w:pPr>
        <w:tabs>
          <w:tab w:val="num" w:pos="1440"/>
        </w:tabs>
        <w:ind w:left="1440" w:hanging="360"/>
      </w:pPr>
      <w:rPr>
        <w:rFonts w:ascii="Wingdings" w:hAnsi="Wingdings" w:hint="default"/>
      </w:rPr>
    </w:lvl>
    <w:lvl w:ilvl="2" w:tplc="378094C0" w:tentative="1">
      <w:start w:val="1"/>
      <w:numFmt w:val="bullet"/>
      <w:lvlText w:val=""/>
      <w:lvlJc w:val="left"/>
      <w:pPr>
        <w:tabs>
          <w:tab w:val="num" w:pos="2160"/>
        </w:tabs>
        <w:ind w:left="2160" w:hanging="360"/>
      </w:pPr>
      <w:rPr>
        <w:rFonts w:ascii="Wingdings" w:hAnsi="Wingdings" w:hint="default"/>
      </w:rPr>
    </w:lvl>
    <w:lvl w:ilvl="3" w:tplc="2F16D1A6" w:tentative="1">
      <w:start w:val="1"/>
      <w:numFmt w:val="bullet"/>
      <w:lvlText w:val=""/>
      <w:lvlJc w:val="left"/>
      <w:pPr>
        <w:tabs>
          <w:tab w:val="num" w:pos="2880"/>
        </w:tabs>
        <w:ind w:left="2880" w:hanging="360"/>
      </w:pPr>
      <w:rPr>
        <w:rFonts w:ascii="Wingdings" w:hAnsi="Wingdings" w:hint="default"/>
      </w:rPr>
    </w:lvl>
    <w:lvl w:ilvl="4" w:tplc="658C0F42" w:tentative="1">
      <w:start w:val="1"/>
      <w:numFmt w:val="bullet"/>
      <w:lvlText w:val=""/>
      <w:lvlJc w:val="left"/>
      <w:pPr>
        <w:tabs>
          <w:tab w:val="num" w:pos="3600"/>
        </w:tabs>
        <w:ind w:left="3600" w:hanging="360"/>
      </w:pPr>
      <w:rPr>
        <w:rFonts w:ascii="Wingdings" w:hAnsi="Wingdings" w:hint="default"/>
      </w:rPr>
    </w:lvl>
    <w:lvl w:ilvl="5" w:tplc="97DEAFD4" w:tentative="1">
      <w:start w:val="1"/>
      <w:numFmt w:val="bullet"/>
      <w:lvlText w:val=""/>
      <w:lvlJc w:val="left"/>
      <w:pPr>
        <w:tabs>
          <w:tab w:val="num" w:pos="4320"/>
        </w:tabs>
        <w:ind w:left="4320" w:hanging="360"/>
      </w:pPr>
      <w:rPr>
        <w:rFonts w:ascii="Wingdings" w:hAnsi="Wingdings" w:hint="default"/>
      </w:rPr>
    </w:lvl>
    <w:lvl w:ilvl="6" w:tplc="ED00CBF0" w:tentative="1">
      <w:start w:val="1"/>
      <w:numFmt w:val="bullet"/>
      <w:lvlText w:val=""/>
      <w:lvlJc w:val="left"/>
      <w:pPr>
        <w:tabs>
          <w:tab w:val="num" w:pos="5040"/>
        </w:tabs>
        <w:ind w:left="5040" w:hanging="360"/>
      </w:pPr>
      <w:rPr>
        <w:rFonts w:ascii="Wingdings" w:hAnsi="Wingdings" w:hint="default"/>
      </w:rPr>
    </w:lvl>
    <w:lvl w:ilvl="7" w:tplc="6660E554" w:tentative="1">
      <w:start w:val="1"/>
      <w:numFmt w:val="bullet"/>
      <w:lvlText w:val=""/>
      <w:lvlJc w:val="left"/>
      <w:pPr>
        <w:tabs>
          <w:tab w:val="num" w:pos="5760"/>
        </w:tabs>
        <w:ind w:left="5760" w:hanging="360"/>
      </w:pPr>
      <w:rPr>
        <w:rFonts w:ascii="Wingdings" w:hAnsi="Wingdings" w:hint="default"/>
      </w:rPr>
    </w:lvl>
    <w:lvl w:ilvl="8" w:tplc="76EEFF0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3E6A65"/>
    <w:multiLevelType w:val="hybridMultilevel"/>
    <w:tmpl w:val="C57489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CA25BAE"/>
    <w:multiLevelType w:val="hybridMultilevel"/>
    <w:tmpl w:val="B1CED9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D343D70"/>
    <w:multiLevelType w:val="hybridMultilevel"/>
    <w:tmpl w:val="41DE4248"/>
    <w:lvl w:ilvl="0" w:tplc="2C529260">
      <w:start w:val="1"/>
      <w:numFmt w:val="decimal"/>
      <w:lvlText w:val="%1."/>
      <w:lvlJc w:val="left"/>
      <w:pPr>
        <w:ind w:left="720" w:hanging="360"/>
      </w:pPr>
      <w:rPr>
        <w:b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6E42C9"/>
    <w:multiLevelType w:val="hybridMultilevel"/>
    <w:tmpl w:val="9CACE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E87128"/>
    <w:multiLevelType w:val="hybridMultilevel"/>
    <w:tmpl w:val="70A285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274793"/>
    <w:multiLevelType w:val="hybridMultilevel"/>
    <w:tmpl w:val="21FC1B44"/>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2" w15:restartNumberingAfterBreak="0">
    <w:nsid w:val="411218C8"/>
    <w:multiLevelType w:val="hybridMultilevel"/>
    <w:tmpl w:val="519085EE"/>
    <w:lvl w:ilvl="0" w:tplc="86DACDE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642C72"/>
    <w:multiLevelType w:val="hybridMultilevel"/>
    <w:tmpl w:val="BC9C1DDA"/>
    <w:lvl w:ilvl="0" w:tplc="4768D7B4">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4" w15:restartNumberingAfterBreak="0">
    <w:nsid w:val="4B567146"/>
    <w:multiLevelType w:val="hybridMultilevel"/>
    <w:tmpl w:val="B1E40C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BD31A92"/>
    <w:multiLevelType w:val="hybridMultilevel"/>
    <w:tmpl w:val="0FA455AC"/>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895E2C"/>
    <w:multiLevelType w:val="hybridMultilevel"/>
    <w:tmpl w:val="FE0A5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D1015A3"/>
    <w:multiLevelType w:val="hybridMultilevel"/>
    <w:tmpl w:val="866C85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DC77CF"/>
    <w:multiLevelType w:val="hybridMultilevel"/>
    <w:tmpl w:val="FF0E5372"/>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627D70"/>
    <w:multiLevelType w:val="hybridMultilevel"/>
    <w:tmpl w:val="5052E418"/>
    <w:lvl w:ilvl="0" w:tplc="259ADB00">
      <w:start w:val="9"/>
      <w:numFmt w:val="decimal"/>
      <w:pStyle w:val="Level1"/>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566D4A3F"/>
    <w:multiLevelType w:val="hybridMultilevel"/>
    <w:tmpl w:val="14844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E07468"/>
    <w:multiLevelType w:val="hybridMultilevel"/>
    <w:tmpl w:val="FF96D774"/>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52" w15:restartNumberingAfterBreak="0">
    <w:nsid w:val="5A110084"/>
    <w:multiLevelType w:val="hybridMultilevel"/>
    <w:tmpl w:val="10FE62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B28677F"/>
    <w:multiLevelType w:val="hybridMultilevel"/>
    <w:tmpl w:val="8FF6707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5B88323E"/>
    <w:multiLevelType w:val="hybridMultilevel"/>
    <w:tmpl w:val="5FD60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044FF7"/>
    <w:multiLevelType w:val="hybridMultilevel"/>
    <w:tmpl w:val="2034B872"/>
    <w:lvl w:ilvl="0" w:tplc="A15E09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3F08E7"/>
    <w:multiLevelType w:val="hybridMultilevel"/>
    <w:tmpl w:val="814821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2314FDD"/>
    <w:multiLevelType w:val="hybridMultilevel"/>
    <w:tmpl w:val="48F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8D5944"/>
    <w:multiLevelType w:val="hybridMultilevel"/>
    <w:tmpl w:val="942270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453BAB"/>
    <w:multiLevelType w:val="hybridMultilevel"/>
    <w:tmpl w:val="A30803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900F11"/>
    <w:multiLevelType w:val="hybridMultilevel"/>
    <w:tmpl w:val="619ABB2A"/>
    <w:lvl w:ilvl="0" w:tplc="0409001B">
      <w:start w:val="1"/>
      <w:numFmt w:val="lowerRoman"/>
      <w:lvlText w:val="%1."/>
      <w:lvlJc w:val="right"/>
      <w:pPr>
        <w:tabs>
          <w:tab w:val="num" w:pos="720"/>
        </w:tabs>
        <w:ind w:left="720" w:hanging="360"/>
      </w:pPr>
      <w:rPr>
        <w:rFonts w:hint="default"/>
      </w:rPr>
    </w:lvl>
    <w:lvl w:ilvl="1" w:tplc="639A97E0" w:tentative="1">
      <w:start w:val="1"/>
      <w:numFmt w:val="bullet"/>
      <w:lvlText w:val=""/>
      <w:lvlJc w:val="left"/>
      <w:pPr>
        <w:tabs>
          <w:tab w:val="num" w:pos="1440"/>
        </w:tabs>
        <w:ind w:left="1440" w:hanging="360"/>
      </w:pPr>
      <w:rPr>
        <w:rFonts w:ascii="Wingdings" w:hAnsi="Wingdings" w:hint="default"/>
      </w:rPr>
    </w:lvl>
    <w:lvl w:ilvl="2" w:tplc="FDF689D8" w:tentative="1">
      <w:start w:val="1"/>
      <w:numFmt w:val="bullet"/>
      <w:lvlText w:val=""/>
      <w:lvlJc w:val="left"/>
      <w:pPr>
        <w:tabs>
          <w:tab w:val="num" w:pos="2160"/>
        </w:tabs>
        <w:ind w:left="2160" w:hanging="360"/>
      </w:pPr>
      <w:rPr>
        <w:rFonts w:ascii="Wingdings" w:hAnsi="Wingdings" w:hint="default"/>
      </w:rPr>
    </w:lvl>
    <w:lvl w:ilvl="3" w:tplc="8B9E9286" w:tentative="1">
      <w:start w:val="1"/>
      <w:numFmt w:val="bullet"/>
      <w:lvlText w:val=""/>
      <w:lvlJc w:val="left"/>
      <w:pPr>
        <w:tabs>
          <w:tab w:val="num" w:pos="2880"/>
        </w:tabs>
        <w:ind w:left="2880" w:hanging="360"/>
      </w:pPr>
      <w:rPr>
        <w:rFonts w:ascii="Wingdings" w:hAnsi="Wingdings" w:hint="default"/>
      </w:rPr>
    </w:lvl>
    <w:lvl w:ilvl="4" w:tplc="A5D436A4" w:tentative="1">
      <w:start w:val="1"/>
      <w:numFmt w:val="bullet"/>
      <w:lvlText w:val=""/>
      <w:lvlJc w:val="left"/>
      <w:pPr>
        <w:tabs>
          <w:tab w:val="num" w:pos="3600"/>
        </w:tabs>
        <w:ind w:left="3600" w:hanging="360"/>
      </w:pPr>
      <w:rPr>
        <w:rFonts w:ascii="Wingdings" w:hAnsi="Wingdings" w:hint="default"/>
      </w:rPr>
    </w:lvl>
    <w:lvl w:ilvl="5" w:tplc="8B0A8EB8" w:tentative="1">
      <w:start w:val="1"/>
      <w:numFmt w:val="bullet"/>
      <w:lvlText w:val=""/>
      <w:lvlJc w:val="left"/>
      <w:pPr>
        <w:tabs>
          <w:tab w:val="num" w:pos="4320"/>
        </w:tabs>
        <w:ind w:left="4320" w:hanging="360"/>
      </w:pPr>
      <w:rPr>
        <w:rFonts w:ascii="Wingdings" w:hAnsi="Wingdings" w:hint="default"/>
      </w:rPr>
    </w:lvl>
    <w:lvl w:ilvl="6" w:tplc="D0C491BA" w:tentative="1">
      <w:start w:val="1"/>
      <w:numFmt w:val="bullet"/>
      <w:lvlText w:val=""/>
      <w:lvlJc w:val="left"/>
      <w:pPr>
        <w:tabs>
          <w:tab w:val="num" w:pos="5040"/>
        </w:tabs>
        <w:ind w:left="5040" w:hanging="360"/>
      </w:pPr>
      <w:rPr>
        <w:rFonts w:ascii="Wingdings" w:hAnsi="Wingdings" w:hint="default"/>
      </w:rPr>
    </w:lvl>
    <w:lvl w:ilvl="7" w:tplc="F462EA18" w:tentative="1">
      <w:start w:val="1"/>
      <w:numFmt w:val="bullet"/>
      <w:lvlText w:val=""/>
      <w:lvlJc w:val="left"/>
      <w:pPr>
        <w:tabs>
          <w:tab w:val="num" w:pos="5760"/>
        </w:tabs>
        <w:ind w:left="5760" w:hanging="360"/>
      </w:pPr>
      <w:rPr>
        <w:rFonts w:ascii="Wingdings" w:hAnsi="Wingdings" w:hint="default"/>
      </w:rPr>
    </w:lvl>
    <w:lvl w:ilvl="8" w:tplc="2BD2A29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9BB6FC0"/>
    <w:multiLevelType w:val="hybridMultilevel"/>
    <w:tmpl w:val="D760278C"/>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2" w15:restartNumberingAfterBreak="0">
    <w:nsid w:val="69EA7300"/>
    <w:multiLevelType w:val="hybridMultilevel"/>
    <w:tmpl w:val="3EB87006"/>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ED76FF"/>
    <w:multiLevelType w:val="hybridMultilevel"/>
    <w:tmpl w:val="BD24C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E455F5"/>
    <w:multiLevelType w:val="multilevel"/>
    <w:tmpl w:val="8B5CBDF8"/>
    <w:lvl w:ilvl="0">
      <w:start w:val="1"/>
      <w:numFmt w:val="lowerLetter"/>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D24430A"/>
    <w:multiLevelType w:val="hybridMultilevel"/>
    <w:tmpl w:val="18CCC9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E0A43F5"/>
    <w:multiLevelType w:val="hybridMultilevel"/>
    <w:tmpl w:val="802C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F87802"/>
    <w:multiLevelType w:val="hybridMultilevel"/>
    <w:tmpl w:val="7DDCE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83415B"/>
    <w:multiLevelType w:val="hybridMultilevel"/>
    <w:tmpl w:val="EDB83B44"/>
    <w:lvl w:ilvl="0" w:tplc="F26CCF0E">
      <w:start w:val="1"/>
      <w:numFmt w:val="low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2837BF"/>
    <w:multiLevelType w:val="hybridMultilevel"/>
    <w:tmpl w:val="D946D398"/>
    <w:lvl w:ilvl="0" w:tplc="0B9A6348">
      <w:start w:val="1"/>
      <w:numFmt w:val="decimal"/>
      <w:lvlText w:val="%1)"/>
      <w:lvlJc w:val="left"/>
      <w:pPr>
        <w:ind w:left="720" w:hanging="360"/>
      </w:pPr>
      <w:rPr>
        <w:b/>
        <w:bCs w:val="0"/>
      </w:rPr>
    </w:lvl>
    <w:lvl w:ilvl="1" w:tplc="09F8C8C0">
      <w:start w:val="1"/>
      <w:numFmt w:val="lowerLetter"/>
      <w:lvlText w:val="(%2)"/>
      <w:lvlJc w:val="left"/>
      <w:pPr>
        <w:ind w:left="1440" w:hanging="360"/>
      </w:pPr>
      <w:rPr>
        <w:rFonts w:hint="default"/>
        <w:i w:val="0"/>
      </w:rPr>
    </w:lvl>
    <w:lvl w:ilvl="2" w:tplc="C5863CB0">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5F6666"/>
    <w:multiLevelType w:val="hybridMultilevel"/>
    <w:tmpl w:val="6232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656AD9"/>
    <w:multiLevelType w:val="hybridMultilevel"/>
    <w:tmpl w:val="C1740846"/>
    <w:lvl w:ilvl="0" w:tplc="CC522310">
      <w:start w:val="1"/>
      <w:numFmt w:val="decimal"/>
      <w:lvlText w:val="%1."/>
      <w:lvlJc w:val="righ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A67FC0"/>
    <w:multiLevelType w:val="hybridMultilevel"/>
    <w:tmpl w:val="7E76E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A921EE"/>
    <w:multiLevelType w:val="hybridMultilevel"/>
    <w:tmpl w:val="D0329D2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254C88"/>
    <w:multiLevelType w:val="hybridMultilevel"/>
    <w:tmpl w:val="A1A49E9E"/>
    <w:lvl w:ilvl="0" w:tplc="4768D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62A734A"/>
    <w:multiLevelType w:val="multilevel"/>
    <w:tmpl w:val="E578B93E"/>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w:hAnsi="Wingding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71A7422"/>
    <w:multiLevelType w:val="hybridMultilevel"/>
    <w:tmpl w:val="0108EF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4A318A"/>
    <w:multiLevelType w:val="hybridMultilevel"/>
    <w:tmpl w:val="6780326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A561603"/>
    <w:multiLevelType w:val="hybridMultilevel"/>
    <w:tmpl w:val="35F081F2"/>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9" w15:restartNumberingAfterBreak="0">
    <w:nsid w:val="7BB82221"/>
    <w:multiLevelType w:val="multilevel"/>
    <w:tmpl w:val="F4809D54"/>
    <w:lvl w:ilvl="0">
      <w:start w:val="1"/>
      <w:numFmt w:val="decimal"/>
      <w:lvlText w:val="%1"/>
      <w:lvlJc w:val="left"/>
      <w:pPr>
        <w:ind w:left="432" w:hanging="432"/>
      </w:pPr>
      <w:rPr>
        <w:rFonts w:hint="default"/>
        <w:sz w:val="32"/>
        <w:szCs w:val="32"/>
      </w:rPr>
    </w:lvl>
    <w:lvl w:ilvl="1">
      <w:start w:val="1"/>
      <w:numFmt w:val="decimal"/>
      <w:pStyle w:val="Heading2"/>
      <w:lvlText w:val="%1.%2"/>
      <w:lvlJc w:val="left"/>
      <w:pPr>
        <w:ind w:left="576" w:hanging="576"/>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0" w15:restartNumberingAfterBreak="0">
    <w:nsid w:val="7BCE500B"/>
    <w:multiLevelType w:val="hybridMultilevel"/>
    <w:tmpl w:val="3A1EE1A8"/>
    <w:lvl w:ilvl="0" w:tplc="04090019">
      <w:start w:val="1"/>
      <w:numFmt w:val="low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200CA5"/>
    <w:multiLevelType w:val="hybridMultilevel"/>
    <w:tmpl w:val="8B327E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F4553DB"/>
    <w:multiLevelType w:val="hybridMultilevel"/>
    <w:tmpl w:val="22A2F766"/>
    <w:lvl w:ilvl="0" w:tplc="A7E208EC">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9B2392"/>
    <w:multiLevelType w:val="hybridMultilevel"/>
    <w:tmpl w:val="89E483D8"/>
    <w:lvl w:ilvl="0" w:tplc="9CC48E26">
      <w:start w:val="1"/>
      <w:numFmt w:val="bullet"/>
      <w:lvlText w:val=""/>
      <w:lvlJc w:val="left"/>
      <w:pPr>
        <w:tabs>
          <w:tab w:val="num" w:pos="720"/>
        </w:tabs>
        <w:ind w:left="720" w:hanging="360"/>
      </w:pPr>
      <w:rPr>
        <w:rFonts w:ascii="Wingdings" w:hAnsi="Wingdings" w:hint="default"/>
      </w:rPr>
    </w:lvl>
    <w:lvl w:ilvl="1" w:tplc="D90A017A">
      <w:numFmt w:val="bullet"/>
      <w:lvlText w:val=""/>
      <w:lvlJc w:val="left"/>
      <w:pPr>
        <w:tabs>
          <w:tab w:val="num" w:pos="1440"/>
        </w:tabs>
        <w:ind w:left="1440" w:hanging="360"/>
      </w:pPr>
      <w:rPr>
        <w:rFonts w:ascii="Wingdings" w:hAnsi="Wingdings" w:hint="default"/>
      </w:rPr>
    </w:lvl>
    <w:lvl w:ilvl="2" w:tplc="EB3E5124" w:tentative="1">
      <w:start w:val="1"/>
      <w:numFmt w:val="bullet"/>
      <w:lvlText w:val=""/>
      <w:lvlJc w:val="left"/>
      <w:pPr>
        <w:tabs>
          <w:tab w:val="num" w:pos="2160"/>
        </w:tabs>
        <w:ind w:left="2160" w:hanging="360"/>
      </w:pPr>
      <w:rPr>
        <w:rFonts w:ascii="Wingdings" w:hAnsi="Wingdings" w:hint="default"/>
      </w:rPr>
    </w:lvl>
    <w:lvl w:ilvl="3" w:tplc="284E8928" w:tentative="1">
      <w:start w:val="1"/>
      <w:numFmt w:val="bullet"/>
      <w:lvlText w:val=""/>
      <w:lvlJc w:val="left"/>
      <w:pPr>
        <w:tabs>
          <w:tab w:val="num" w:pos="2880"/>
        </w:tabs>
        <w:ind w:left="2880" w:hanging="360"/>
      </w:pPr>
      <w:rPr>
        <w:rFonts w:ascii="Wingdings" w:hAnsi="Wingdings" w:hint="default"/>
      </w:rPr>
    </w:lvl>
    <w:lvl w:ilvl="4" w:tplc="30CA3F56" w:tentative="1">
      <w:start w:val="1"/>
      <w:numFmt w:val="bullet"/>
      <w:lvlText w:val=""/>
      <w:lvlJc w:val="left"/>
      <w:pPr>
        <w:tabs>
          <w:tab w:val="num" w:pos="3600"/>
        </w:tabs>
        <w:ind w:left="3600" w:hanging="360"/>
      </w:pPr>
      <w:rPr>
        <w:rFonts w:ascii="Wingdings" w:hAnsi="Wingdings" w:hint="default"/>
      </w:rPr>
    </w:lvl>
    <w:lvl w:ilvl="5" w:tplc="4530D7C4" w:tentative="1">
      <w:start w:val="1"/>
      <w:numFmt w:val="bullet"/>
      <w:lvlText w:val=""/>
      <w:lvlJc w:val="left"/>
      <w:pPr>
        <w:tabs>
          <w:tab w:val="num" w:pos="4320"/>
        </w:tabs>
        <w:ind w:left="4320" w:hanging="360"/>
      </w:pPr>
      <w:rPr>
        <w:rFonts w:ascii="Wingdings" w:hAnsi="Wingdings" w:hint="default"/>
      </w:rPr>
    </w:lvl>
    <w:lvl w:ilvl="6" w:tplc="39A6F118" w:tentative="1">
      <w:start w:val="1"/>
      <w:numFmt w:val="bullet"/>
      <w:lvlText w:val=""/>
      <w:lvlJc w:val="left"/>
      <w:pPr>
        <w:tabs>
          <w:tab w:val="num" w:pos="5040"/>
        </w:tabs>
        <w:ind w:left="5040" w:hanging="360"/>
      </w:pPr>
      <w:rPr>
        <w:rFonts w:ascii="Wingdings" w:hAnsi="Wingdings" w:hint="default"/>
      </w:rPr>
    </w:lvl>
    <w:lvl w:ilvl="7" w:tplc="A9E2E502" w:tentative="1">
      <w:start w:val="1"/>
      <w:numFmt w:val="bullet"/>
      <w:lvlText w:val=""/>
      <w:lvlJc w:val="left"/>
      <w:pPr>
        <w:tabs>
          <w:tab w:val="num" w:pos="5760"/>
        </w:tabs>
        <w:ind w:left="5760" w:hanging="360"/>
      </w:pPr>
      <w:rPr>
        <w:rFonts w:ascii="Wingdings" w:hAnsi="Wingdings" w:hint="default"/>
      </w:rPr>
    </w:lvl>
    <w:lvl w:ilvl="8" w:tplc="2092E98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FF82DCA"/>
    <w:multiLevelType w:val="hybridMultilevel"/>
    <w:tmpl w:val="726034F6"/>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23"/>
  </w:num>
  <w:num w:numId="3">
    <w:abstractNumId w:val="28"/>
  </w:num>
  <w:num w:numId="4">
    <w:abstractNumId w:val="31"/>
  </w:num>
  <w:num w:numId="5">
    <w:abstractNumId w:val="83"/>
  </w:num>
  <w:num w:numId="6">
    <w:abstractNumId w:val="75"/>
  </w:num>
  <w:num w:numId="7">
    <w:abstractNumId w:val="35"/>
  </w:num>
  <w:num w:numId="8">
    <w:abstractNumId w:val="10"/>
  </w:num>
  <w:num w:numId="9">
    <w:abstractNumId w:val="61"/>
  </w:num>
  <w:num w:numId="10">
    <w:abstractNumId w:val="66"/>
  </w:num>
  <w:num w:numId="11">
    <w:abstractNumId w:val="70"/>
  </w:num>
  <w:num w:numId="12">
    <w:abstractNumId w:val="27"/>
  </w:num>
  <w:num w:numId="13">
    <w:abstractNumId w:val="41"/>
  </w:num>
  <w:num w:numId="14">
    <w:abstractNumId w:val="44"/>
  </w:num>
  <w:num w:numId="15">
    <w:abstractNumId w:val="3"/>
  </w:num>
  <w:num w:numId="16">
    <w:abstractNumId w:val="78"/>
  </w:num>
  <w:num w:numId="17">
    <w:abstractNumId w:val="81"/>
  </w:num>
  <w:num w:numId="18">
    <w:abstractNumId w:val="56"/>
  </w:num>
  <w:num w:numId="19">
    <w:abstractNumId w:val="53"/>
  </w:num>
  <w:num w:numId="20">
    <w:abstractNumId w:val="14"/>
  </w:num>
  <w:num w:numId="21">
    <w:abstractNumId w:val="8"/>
  </w:num>
  <w:num w:numId="22">
    <w:abstractNumId w:val="22"/>
  </w:num>
  <w:num w:numId="23">
    <w:abstractNumId w:val="77"/>
  </w:num>
  <w:num w:numId="24">
    <w:abstractNumId w:val="9"/>
  </w:num>
  <w:num w:numId="25">
    <w:abstractNumId w:val="46"/>
  </w:num>
  <w:num w:numId="26">
    <w:abstractNumId w:val="51"/>
  </w:num>
  <w:num w:numId="27">
    <w:abstractNumId w:val="30"/>
  </w:num>
  <w:num w:numId="28">
    <w:abstractNumId w:val="82"/>
  </w:num>
  <w:num w:numId="29">
    <w:abstractNumId w:val="1"/>
  </w:num>
  <w:num w:numId="30">
    <w:abstractNumId w:val="0"/>
  </w:num>
  <w:num w:numId="31">
    <w:abstractNumId w:val="64"/>
  </w:num>
  <w:num w:numId="32">
    <w:abstractNumId w:val="80"/>
  </w:num>
  <w:num w:numId="33">
    <w:abstractNumId w:val="33"/>
  </w:num>
  <w:num w:numId="34">
    <w:abstractNumId w:val="24"/>
  </w:num>
  <w:num w:numId="35">
    <w:abstractNumId w:val="68"/>
  </w:num>
  <w:num w:numId="36">
    <w:abstractNumId w:val="65"/>
  </w:num>
  <w:num w:numId="37">
    <w:abstractNumId w:val="37"/>
  </w:num>
  <w:num w:numId="38">
    <w:abstractNumId w:val="36"/>
  </w:num>
  <w:num w:numId="39">
    <w:abstractNumId w:val="6"/>
  </w:num>
  <w:num w:numId="40">
    <w:abstractNumId w:val="58"/>
  </w:num>
  <w:num w:numId="41">
    <w:abstractNumId w:val="42"/>
  </w:num>
  <w:num w:numId="42">
    <w:abstractNumId w:val="39"/>
  </w:num>
  <w:num w:numId="43">
    <w:abstractNumId w:val="60"/>
  </w:num>
  <w:num w:numId="44">
    <w:abstractNumId w:val="26"/>
  </w:num>
  <w:num w:numId="45">
    <w:abstractNumId w:val="76"/>
  </w:num>
  <w:num w:numId="46">
    <w:abstractNumId w:val="5"/>
  </w:num>
  <w:num w:numId="47">
    <w:abstractNumId w:val="32"/>
  </w:num>
  <w:num w:numId="48">
    <w:abstractNumId w:val="62"/>
  </w:num>
  <w:num w:numId="49">
    <w:abstractNumId w:val="74"/>
  </w:num>
  <w:num w:numId="50">
    <w:abstractNumId w:val="45"/>
  </w:num>
  <w:num w:numId="51">
    <w:abstractNumId w:val="48"/>
  </w:num>
  <w:num w:numId="52">
    <w:abstractNumId w:val="13"/>
  </w:num>
  <w:num w:numId="53">
    <w:abstractNumId w:val="16"/>
  </w:num>
  <w:num w:numId="54">
    <w:abstractNumId w:val="4"/>
  </w:num>
  <w:num w:numId="55">
    <w:abstractNumId w:val="34"/>
  </w:num>
  <w:num w:numId="56">
    <w:abstractNumId w:val="18"/>
  </w:num>
  <w:num w:numId="57">
    <w:abstractNumId w:val="84"/>
  </w:num>
  <w:num w:numId="58">
    <w:abstractNumId w:val="50"/>
  </w:num>
  <w:num w:numId="59">
    <w:abstractNumId w:val="72"/>
  </w:num>
  <w:num w:numId="60">
    <w:abstractNumId w:val="12"/>
  </w:num>
  <w:num w:numId="61">
    <w:abstractNumId w:val="52"/>
  </w:num>
  <w:num w:numId="62">
    <w:abstractNumId w:val="47"/>
  </w:num>
  <w:num w:numId="63">
    <w:abstractNumId w:val="67"/>
  </w:num>
  <w:num w:numId="64">
    <w:abstractNumId w:val="20"/>
  </w:num>
  <w:num w:numId="65">
    <w:abstractNumId w:val="57"/>
  </w:num>
  <w:num w:numId="66">
    <w:abstractNumId w:val="73"/>
  </w:num>
  <w:num w:numId="67">
    <w:abstractNumId w:val="15"/>
  </w:num>
  <w:num w:numId="68">
    <w:abstractNumId w:val="17"/>
  </w:num>
  <w:num w:numId="69">
    <w:abstractNumId w:val="49"/>
  </w:num>
  <w:num w:numId="70">
    <w:abstractNumId w:val="2"/>
  </w:num>
  <w:num w:numId="71">
    <w:abstractNumId w:val="11"/>
  </w:num>
  <w:num w:numId="72">
    <w:abstractNumId w:val="71"/>
  </w:num>
  <w:num w:numId="73">
    <w:abstractNumId w:val="19"/>
  </w:num>
  <w:num w:numId="74">
    <w:abstractNumId w:val="40"/>
  </w:num>
  <w:num w:numId="75">
    <w:abstractNumId w:val="59"/>
  </w:num>
  <w:num w:numId="76">
    <w:abstractNumId w:val="54"/>
  </w:num>
  <w:num w:numId="77">
    <w:abstractNumId w:val="43"/>
  </w:num>
  <w:num w:numId="78">
    <w:abstractNumId w:val="55"/>
  </w:num>
  <w:num w:numId="79">
    <w:abstractNumId w:val="7"/>
  </w:num>
  <w:num w:numId="80">
    <w:abstractNumId w:val="25"/>
  </w:num>
  <w:num w:numId="81">
    <w:abstractNumId w:val="63"/>
  </w:num>
  <w:num w:numId="82">
    <w:abstractNumId w:val="38"/>
  </w:num>
  <w:num w:numId="83">
    <w:abstractNumId w:val="29"/>
  </w:num>
  <w:num w:numId="84">
    <w:abstractNumId w:val="21"/>
  </w:num>
  <w:num w:numId="85">
    <w:abstractNumId w:val="6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NLI0NTQzNTYwNjFU0lEKTi0uzszPAykwNa8FAPZpdx8tAAAA"/>
  </w:docVars>
  <w:rsids>
    <w:rsidRoot w:val="002733FD"/>
    <w:rsid w:val="0000018C"/>
    <w:rsid w:val="000009F6"/>
    <w:rsid w:val="00001AAF"/>
    <w:rsid w:val="00002CD3"/>
    <w:rsid w:val="000053DF"/>
    <w:rsid w:val="00006058"/>
    <w:rsid w:val="00006DC0"/>
    <w:rsid w:val="00010353"/>
    <w:rsid w:val="00011C24"/>
    <w:rsid w:val="00012AB9"/>
    <w:rsid w:val="00014A1D"/>
    <w:rsid w:val="00014D45"/>
    <w:rsid w:val="0001568B"/>
    <w:rsid w:val="00016353"/>
    <w:rsid w:val="000169E0"/>
    <w:rsid w:val="000178CD"/>
    <w:rsid w:val="000201A2"/>
    <w:rsid w:val="00020D5B"/>
    <w:rsid w:val="000215D3"/>
    <w:rsid w:val="00021B26"/>
    <w:rsid w:val="00021D16"/>
    <w:rsid w:val="0002496C"/>
    <w:rsid w:val="00026870"/>
    <w:rsid w:val="00027712"/>
    <w:rsid w:val="00031038"/>
    <w:rsid w:val="00031E7F"/>
    <w:rsid w:val="0003298B"/>
    <w:rsid w:val="00032D7A"/>
    <w:rsid w:val="00033A8D"/>
    <w:rsid w:val="00034F23"/>
    <w:rsid w:val="00036099"/>
    <w:rsid w:val="00040409"/>
    <w:rsid w:val="00040C79"/>
    <w:rsid w:val="00042BB7"/>
    <w:rsid w:val="0004350D"/>
    <w:rsid w:val="000435E2"/>
    <w:rsid w:val="00043C91"/>
    <w:rsid w:val="000440FF"/>
    <w:rsid w:val="000449B2"/>
    <w:rsid w:val="00044D06"/>
    <w:rsid w:val="00045270"/>
    <w:rsid w:val="00046E44"/>
    <w:rsid w:val="0005017B"/>
    <w:rsid w:val="0005234B"/>
    <w:rsid w:val="000526FC"/>
    <w:rsid w:val="00053372"/>
    <w:rsid w:val="00053F32"/>
    <w:rsid w:val="00054073"/>
    <w:rsid w:val="00054E8C"/>
    <w:rsid w:val="00055BC2"/>
    <w:rsid w:val="00056FB5"/>
    <w:rsid w:val="00057B80"/>
    <w:rsid w:val="00057E62"/>
    <w:rsid w:val="0006129B"/>
    <w:rsid w:val="000628FB"/>
    <w:rsid w:val="000633B9"/>
    <w:rsid w:val="000642A7"/>
    <w:rsid w:val="00064D48"/>
    <w:rsid w:val="00067559"/>
    <w:rsid w:val="00067BE8"/>
    <w:rsid w:val="000706FB"/>
    <w:rsid w:val="00070769"/>
    <w:rsid w:val="00070DFA"/>
    <w:rsid w:val="00072493"/>
    <w:rsid w:val="0007271A"/>
    <w:rsid w:val="00073436"/>
    <w:rsid w:val="00074706"/>
    <w:rsid w:val="000760E2"/>
    <w:rsid w:val="00076DBE"/>
    <w:rsid w:val="00076FBB"/>
    <w:rsid w:val="000776F8"/>
    <w:rsid w:val="00077F61"/>
    <w:rsid w:val="00081619"/>
    <w:rsid w:val="000830DB"/>
    <w:rsid w:val="00084C15"/>
    <w:rsid w:val="000854AC"/>
    <w:rsid w:val="000868D6"/>
    <w:rsid w:val="00086FF7"/>
    <w:rsid w:val="00087B3D"/>
    <w:rsid w:val="00087FD7"/>
    <w:rsid w:val="00093029"/>
    <w:rsid w:val="000935AF"/>
    <w:rsid w:val="00094665"/>
    <w:rsid w:val="00094D2E"/>
    <w:rsid w:val="00096402"/>
    <w:rsid w:val="000966F1"/>
    <w:rsid w:val="00097729"/>
    <w:rsid w:val="000A1D47"/>
    <w:rsid w:val="000A3A9F"/>
    <w:rsid w:val="000A424C"/>
    <w:rsid w:val="000A4B00"/>
    <w:rsid w:val="000A5F3B"/>
    <w:rsid w:val="000A5FC0"/>
    <w:rsid w:val="000A7B5E"/>
    <w:rsid w:val="000B0662"/>
    <w:rsid w:val="000B1733"/>
    <w:rsid w:val="000B21DC"/>
    <w:rsid w:val="000B3390"/>
    <w:rsid w:val="000B469C"/>
    <w:rsid w:val="000B474A"/>
    <w:rsid w:val="000B7909"/>
    <w:rsid w:val="000C06BF"/>
    <w:rsid w:val="000C338F"/>
    <w:rsid w:val="000C44A1"/>
    <w:rsid w:val="000C51BE"/>
    <w:rsid w:val="000C5A08"/>
    <w:rsid w:val="000C5B90"/>
    <w:rsid w:val="000C7EEC"/>
    <w:rsid w:val="000D00DA"/>
    <w:rsid w:val="000D0704"/>
    <w:rsid w:val="000D079E"/>
    <w:rsid w:val="000D0A7C"/>
    <w:rsid w:val="000D1A94"/>
    <w:rsid w:val="000D1B57"/>
    <w:rsid w:val="000D3B88"/>
    <w:rsid w:val="000D42C7"/>
    <w:rsid w:val="000D5A3B"/>
    <w:rsid w:val="000E01C5"/>
    <w:rsid w:val="000E01E5"/>
    <w:rsid w:val="000E0800"/>
    <w:rsid w:val="000E1481"/>
    <w:rsid w:val="000E1665"/>
    <w:rsid w:val="000E1857"/>
    <w:rsid w:val="000E1A72"/>
    <w:rsid w:val="000E204F"/>
    <w:rsid w:val="000E5014"/>
    <w:rsid w:val="000E5744"/>
    <w:rsid w:val="000E5992"/>
    <w:rsid w:val="000E59FD"/>
    <w:rsid w:val="000E6213"/>
    <w:rsid w:val="000E67C0"/>
    <w:rsid w:val="000E71E5"/>
    <w:rsid w:val="000E77BB"/>
    <w:rsid w:val="000F061D"/>
    <w:rsid w:val="000F092C"/>
    <w:rsid w:val="000F161C"/>
    <w:rsid w:val="000F2563"/>
    <w:rsid w:val="000F2E4F"/>
    <w:rsid w:val="000F4DD7"/>
    <w:rsid w:val="000F5157"/>
    <w:rsid w:val="000F5C53"/>
    <w:rsid w:val="000F5D69"/>
    <w:rsid w:val="000F6730"/>
    <w:rsid w:val="000F75A9"/>
    <w:rsid w:val="0010019C"/>
    <w:rsid w:val="00101119"/>
    <w:rsid w:val="00102D2A"/>
    <w:rsid w:val="001032A9"/>
    <w:rsid w:val="001055CD"/>
    <w:rsid w:val="00106CD1"/>
    <w:rsid w:val="001111EC"/>
    <w:rsid w:val="00111E41"/>
    <w:rsid w:val="00111F76"/>
    <w:rsid w:val="00112C4F"/>
    <w:rsid w:val="00112C9F"/>
    <w:rsid w:val="00112D88"/>
    <w:rsid w:val="001132D4"/>
    <w:rsid w:val="001134C5"/>
    <w:rsid w:val="00113F27"/>
    <w:rsid w:val="00115C35"/>
    <w:rsid w:val="00115D8A"/>
    <w:rsid w:val="00117046"/>
    <w:rsid w:val="00117C13"/>
    <w:rsid w:val="0012018E"/>
    <w:rsid w:val="0012046F"/>
    <w:rsid w:val="00120740"/>
    <w:rsid w:val="001213EE"/>
    <w:rsid w:val="001214AA"/>
    <w:rsid w:val="001246F8"/>
    <w:rsid w:val="00127B97"/>
    <w:rsid w:val="00127D61"/>
    <w:rsid w:val="0013001E"/>
    <w:rsid w:val="001362BB"/>
    <w:rsid w:val="00136863"/>
    <w:rsid w:val="00137BB6"/>
    <w:rsid w:val="00137BFA"/>
    <w:rsid w:val="00140937"/>
    <w:rsid w:val="00142629"/>
    <w:rsid w:val="0014283B"/>
    <w:rsid w:val="001430C7"/>
    <w:rsid w:val="00144796"/>
    <w:rsid w:val="001463CE"/>
    <w:rsid w:val="00152E5D"/>
    <w:rsid w:val="00152F5A"/>
    <w:rsid w:val="00153553"/>
    <w:rsid w:val="00153681"/>
    <w:rsid w:val="00156577"/>
    <w:rsid w:val="001604E7"/>
    <w:rsid w:val="001619B2"/>
    <w:rsid w:val="00162F30"/>
    <w:rsid w:val="0016390F"/>
    <w:rsid w:val="0016570A"/>
    <w:rsid w:val="001661BE"/>
    <w:rsid w:val="00166374"/>
    <w:rsid w:val="001702E5"/>
    <w:rsid w:val="001704A0"/>
    <w:rsid w:val="00170C12"/>
    <w:rsid w:val="00172AFE"/>
    <w:rsid w:val="00173226"/>
    <w:rsid w:val="001733AB"/>
    <w:rsid w:val="00173508"/>
    <w:rsid w:val="00174EEE"/>
    <w:rsid w:val="00176AF1"/>
    <w:rsid w:val="00176DEE"/>
    <w:rsid w:val="00177422"/>
    <w:rsid w:val="00177A4D"/>
    <w:rsid w:val="00177D4B"/>
    <w:rsid w:val="001858B5"/>
    <w:rsid w:val="001878E3"/>
    <w:rsid w:val="00191658"/>
    <w:rsid w:val="00191DE7"/>
    <w:rsid w:val="00193224"/>
    <w:rsid w:val="00193837"/>
    <w:rsid w:val="00193ADC"/>
    <w:rsid w:val="001A00EE"/>
    <w:rsid w:val="001A0304"/>
    <w:rsid w:val="001A1F17"/>
    <w:rsid w:val="001A4171"/>
    <w:rsid w:val="001A41C5"/>
    <w:rsid w:val="001A4A8C"/>
    <w:rsid w:val="001A5CAD"/>
    <w:rsid w:val="001B028F"/>
    <w:rsid w:val="001B0DEB"/>
    <w:rsid w:val="001B1629"/>
    <w:rsid w:val="001B300D"/>
    <w:rsid w:val="001B3FC0"/>
    <w:rsid w:val="001B563E"/>
    <w:rsid w:val="001B70D5"/>
    <w:rsid w:val="001B7BE4"/>
    <w:rsid w:val="001C1075"/>
    <w:rsid w:val="001C11AB"/>
    <w:rsid w:val="001C145A"/>
    <w:rsid w:val="001C15E8"/>
    <w:rsid w:val="001C166E"/>
    <w:rsid w:val="001C16E2"/>
    <w:rsid w:val="001C1EE0"/>
    <w:rsid w:val="001C1FAA"/>
    <w:rsid w:val="001C237F"/>
    <w:rsid w:val="001C285B"/>
    <w:rsid w:val="001C4C5C"/>
    <w:rsid w:val="001C5F1D"/>
    <w:rsid w:val="001C63BA"/>
    <w:rsid w:val="001D066A"/>
    <w:rsid w:val="001D0EE3"/>
    <w:rsid w:val="001D169F"/>
    <w:rsid w:val="001D27E7"/>
    <w:rsid w:val="001D38A3"/>
    <w:rsid w:val="001D44F6"/>
    <w:rsid w:val="001D475A"/>
    <w:rsid w:val="001D539D"/>
    <w:rsid w:val="001D63C5"/>
    <w:rsid w:val="001E0320"/>
    <w:rsid w:val="001E0577"/>
    <w:rsid w:val="001E4438"/>
    <w:rsid w:val="001E4773"/>
    <w:rsid w:val="001E55AF"/>
    <w:rsid w:val="001E5D32"/>
    <w:rsid w:val="001E7F76"/>
    <w:rsid w:val="001F0E37"/>
    <w:rsid w:val="001F139E"/>
    <w:rsid w:val="001F14D5"/>
    <w:rsid w:val="001F163E"/>
    <w:rsid w:val="001F21E9"/>
    <w:rsid w:val="001F394C"/>
    <w:rsid w:val="001F55F0"/>
    <w:rsid w:val="001F67D5"/>
    <w:rsid w:val="001F6975"/>
    <w:rsid w:val="001F7129"/>
    <w:rsid w:val="00200A76"/>
    <w:rsid w:val="002023F2"/>
    <w:rsid w:val="00202FF0"/>
    <w:rsid w:val="0020399D"/>
    <w:rsid w:val="00204052"/>
    <w:rsid w:val="00205469"/>
    <w:rsid w:val="00205B6D"/>
    <w:rsid w:val="00210362"/>
    <w:rsid w:val="002105C7"/>
    <w:rsid w:val="00210EC1"/>
    <w:rsid w:val="002110D4"/>
    <w:rsid w:val="002137C1"/>
    <w:rsid w:val="0021381C"/>
    <w:rsid w:val="00214A54"/>
    <w:rsid w:val="00216235"/>
    <w:rsid w:val="002166CA"/>
    <w:rsid w:val="002178C7"/>
    <w:rsid w:val="00220386"/>
    <w:rsid w:val="0022127F"/>
    <w:rsid w:val="0022273E"/>
    <w:rsid w:val="00223201"/>
    <w:rsid w:val="00224D29"/>
    <w:rsid w:val="002262C3"/>
    <w:rsid w:val="00226574"/>
    <w:rsid w:val="0023201B"/>
    <w:rsid w:val="00236E68"/>
    <w:rsid w:val="0023728B"/>
    <w:rsid w:val="00237A79"/>
    <w:rsid w:val="00240127"/>
    <w:rsid w:val="00240974"/>
    <w:rsid w:val="00242D60"/>
    <w:rsid w:val="002455DD"/>
    <w:rsid w:val="00247B69"/>
    <w:rsid w:val="00247C56"/>
    <w:rsid w:val="00250138"/>
    <w:rsid w:val="00250531"/>
    <w:rsid w:val="00250AD4"/>
    <w:rsid w:val="00250BB5"/>
    <w:rsid w:val="002546FB"/>
    <w:rsid w:val="00254DD8"/>
    <w:rsid w:val="00256792"/>
    <w:rsid w:val="002569C7"/>
    <w:rsid w:val="00257EC5"/>
    <w:rsid w:val="00260DE3"/>
    <w:rsid w:val="0026240B"/>
    <w:rsid w:val="002628F2"/>
    <w:rsid w:val="00264AA1"/>
    <w:rsid w:val="00264C2E"/>
    <w:rsid w:val="00265426"/>
    <w:rsid w:val="00265AEF"/>
    <w:rsid w:val="00265DF7"/>
    <w:rsid w:val="002720F6"/>
    <w:rsid w:val="0027289E"/>
    <w:rsid w:val="00272AE9"/>
    <w:rsid w:val="00272E6D"/>
    <w:rsid w:val="002733FD"/>
    <w:rsid w:val="00274827"/>
    <w:rsid w:val="00274994"/>
    <w:rsid w:val="002767B1"/>
    <w:rsid w:val="00276FA7"/>
    <w:rsid w:val="002773E0"/>
    <w:rsid w:val="0027756E"/>
    <w:rsid w:val="0028581C"/>
    <w:rsid w:val="00286285"/>
    <w:rsid w:val="002863CE"/>
    <w:rsid w:val="00291352"/>
    <w:rsid w:val="00292C37"/>
    <w:rsid w:val="00293FED"/>
    <w:rsid w:val="00295EE1"/>
    <w:rsid w:val="00297561"/>
    <w:rsid w:val="002A245D"/>
    <w:rsid w:val="002A40EB"/>
    <w:rsid w:val="002A51F8"/>
    <w:rsid w:val="002A5265"/>
    <w:rsid w:val="002A58AE"/>
    <w:rsid w:val="002A7634"/>
    <w:rsid w:val="002A7CF2"/>
    <w:rsid w:val="002B0F1F"/>
    <w:rsid w:val="002B1B59"/>
    <w:rsid w:val="002B2707"/>
    <w:rsid w:val="002B309E"/>
    <w:rsid w:val="002B345B"/>
    <w:rsid w:val="002B4935"/>
    <w:rsid w:val="002B6331"/>
    <w:rsid w:val="002C028A"/>
    <w:rsid w:val="002C0737"/>
    <w:rsid w:val="002C0869"/>
    <w:rsid w:val="002C35D1"/>
    <w:rsid w:val="002C5857"/>
    <w:rsid w:val="002C5FBE"/>
    <w:rsid w:val="002C622C"/>
    <w:rsid w:val="002C63C1"/>
    <w:rsid w:val="002C75A3"/>
    <w:rsid w:val="002D008D"/>
    <w:rsid w:val="002D22D0"/>
    <w:rsid w:val="002D389B"/>
    <w:rsid w:val="002D45DA"/>
    <w:rsid w:val="002D4F1B"/>
    <w:rsid w:val="002D61BE"/>
    <w:rsid w:val="002D689A"/>
    <w:rsid w:val="002D79BF"/>
    <w:rsid w:val="002E046F"/>
    <w:rsid w:val="002E2341"/>
    <w:rsid w:val="002E3837"/>
    <w:rsid w:val="002E3E9E"/>
    <w:rsid w:val="002E4E9F"/>
    <w:rsid w:val="002E4F83"/>
    <w:rsid w:val="002F0367"/>
    <w:rsid w:val="002F17A8"/>
    <w:rsid w:val="002F1FD9"/>
    <w:rsid w:val="002F2F74"/>
    <w:rsid w:val="002F36E5"/>
    <w:rsid w:val="002F3C03"/>
    <w:rsid w:val="002F4630"/>
    <w:rsid w:val="002F4D53"/>
    <w:rsid w:val="002F6478"/>
    <w:rsid w:val="002F6592"/>
    <w:rsid w:val="002F6EFF"/>
    <w:rsid w:val="00300A39"/>
    <w:rsid w:val="00300CF4"/>
    <w:rsid w:val="00301C07"/>
    <w:rsid w:val="003051A8"/>
    <w:rsid w:val="003064CA"/>
    <w:rsid w:val="003100F6"/>
    <w:rsid w:val="003112D7"/>
    <w:rsid w:val="003115BD"/>
    <w:rsid w:val="0031189C"/>
    <w:rsid w:val="00311ED2"/>
    <w:rsid w:val="003123D8"/>
    <w:rsid w:val="00320FEA"/>
    <w:rsid w:val="0032140A"/>
    <w:rsid w:val="00321AAB"/>
    <w:rsid w:val="003248A0"/>
    <w:rsid w:val="00325766"/>
    <w:rsid w:val="00327D2B"/>
    <w:rsid w:val="00330C2C"/>
    <w:rsid w:val="00330DFB"/>
    <w:rsid w:val="003311CD"/>
    <w:rsid w:val="00336604"/>
    <w:rsid w:val="0033677F"/>
    <w:rsid w:val="00336BDE"/>
    <w:rsid w:val="00336F1D"/>
    <w:rsid w:val="00340395"/>
    <w:rsid w:val="00340CFB"/>
    <w:rsid w:val="00342220"/>
    <w:rsid w:val="00342C4E"/>
    <w:rsid w:val="0034316E"/>
    <w:rsid w:val="0034784E"/>
    <w:rsid w:val="00347F65"/>
    <w:rsid w:val="0035064F"/>
    <w:rsid w:val="00351765"/>
    <w:rsid w:val="0035189F"/>
    <w:rsid w:val="00351ACD"/>
    <w:rsid w:val="00351AD8"/>
    <w:rsid w:val="00354E9C"/>
    <w:rsid w:val="00355C6F"/>
    <w:rsid w:val="003560DD"/>
    <w:rsid w:val="003563BF"/>
    <w:rsid w:val="0035761F"/>
    <w:rsid w:val="00362DD9"/>
    <w:rsid w:val="00362E75"/>
    <w:rsid w:val="00363CCD"/>
    <w:rsid w:val="00364164"/>
    <w:rsid w:val="0036612A"/>
    <w:rsid w:val="00366A7B"/>
    <w:rsid w:val="0037194D"/>
    <w:rsid w:val="00372EBD"/>
    <w:rsid w:val="00373354"/>
    <w:rsid w:val="003745F3"/>
    <w:rsid w:val="00374BCE"/>
    <w:rsid w:val="0037597B"/>
    <w:rsid w:val="00376F77"/>
    <w:rsid w:val="00377054"/>
    <w:rsid w:val="00377251"/>
    <w:rsid w:val="00383208"/>
    <w:rsid w:val="00384041"/>
    <w:rsid w:val="00385A98"/>
    <w:rsid w:val="00386393"/>
    <w:rsid w:val="00386778"/>
    <w:rsid w:val="00387871"/>
    <w:rsid w:val="00391F81"/>
    <w:rsid w:val="003921D1"/>
    <w:rsid w:val="003952DF"/>
    <w:rsid w:val="003A02A6"/>
    <w:rsid w:val="003A045C"/>
    <w:rsid w:val="003A087E"/>
    <w:rsid w:val="003A0ABC"/>
    <w:rsid w:val="003A2343"/>
    <w:rsid w:val="003A29D1"/>
    <w:rsid w:val="003A345C"/>
    <w:rsid w:val="003A4A23"/>
    <w:rsid w:val="003A546B"/>
    <w:rsid w:val="003A6613"/>
    <w:rsid w:val="003A718E"/>
    <w:rsid w:val="003A7C62"/>
    <w:rsid w:val="003B021A"/>
    <w:rsid w:val="003B02F5"/>
    <w:rsid w:val="003B05C3"/>
    <w:rsid w:val="003B2955"/>
    <w:rsid w:val="003B6B3E"/>
    <w:rsid w:val="003B72CE"/>
    <w:rsid w:val="003B7397"/>
    <w:rsid w:val="003C09F4"/>
    <w:rsid w:val="003C2CF8"/>
    <w:rsid w:val="003C380E"/>
    <w:rsid w:val="003C3AE6"/>
    <w:rsid w:val="003C4E23"/>
    <w:rsid w:val="003C7644"/>
    <w:rsid w:val="003C7BA6"/>
    <w:rsid w:val="003D053F"/>
    <w:rsid w:val="003D0739"/>
    <w:rsid w:val="003D0893"/>
    <w:rsid w:val="003D2B30"/>
    <w:rsid w:val="003D41EC"/>
    <w:rsid w:val="003D478A"/>
    <w:rsid w:val="003D52EA"/>
    <w:rsid w:val="003D61D4"/>
    <w:rsid w:val="003D69EC"/>
    <w:rsid w:val="003D6E57"/>
    <w:rsid w:val="003E0236"/>
    <w:rsid w:val="003E03DD"/>
    <w:rsid w:val="003E32EC"/>
    <w:rsid w:val="003E4C5A"/>
    <w:rsid w:val="003E5BAF"/>
    <w:rsid w:val="003E5D36"/>
    <w:rsid w:val="003E6257"/>
    <w:rsid w:val="003E66FA"/>
    <w:rsid w:val="003E7019"/>
    <w:rsid w:val="003F2973"/>
    <w:rsid w:val="003F31CD"/>
    <w:rsid w:val="003F5002"/>
    <w:rsid w:val="003F661B"/>
    <w:rsid w:val="003F6810"/>
    <w:rsid w:val="003F6A1C"/>
    <w:rsid w:val="00400A25"/>
    <w:rsid w:val="004016FE"/>
    <w:rsid w:val="00401E91"/>
    <w:rsid w:val="004024B3"/>
    <w:rsid w:val="00402AA7"/>
    <w:rsid w:val="00403371"/>
    <w:rsid w:val="0040360A"/>
    <w:rsid w:val="00403AF7"/>
    <w:rsid w:val="00412AC6"/>
    <w:rsid w:val="00412BBF"/>
    <w:rsid w:val="00412C08"/>
    <w:rsid w:val="004135E2"/>
    <w:rsid w:val="00414790"/>
    <w:rsid w:val="00415983"/>
    <w:rsid w:val="00416203"/>
    <w:rsid w:val="004172D5"/>
    <w:rsid w:val="004230B2"/>
    <w:rsid w:val="00423302"/>
    <w:rsid w:val="00423C6F"/>
    <w:rsid w:val="00425AD7"/>
    <w:rsid w:val="00426D84"/>
    <w:rsid w:val="0042702F"/>
    <w:rsid w:val="00430CE4"/>
    <w:rsid w:val="004310E7"/>
    <w:rsid w:val="004313F6"/>
    <w:rsid w:val="00432C06"/>
    <w:rsid w:val="0043310D"/>
    <w:rsid w:val="00434ACA"/>
    <w:rsid w:val="004408DF"/>
    <w:rsid w:val="0044190F"/>
    <w:rsid w:val="00442766"/>
    <w:rsid w:val="00442F3F"/>
    <w:rsid w:val="00443E51"/>
    <w:rsid w:val="004444BB"/>
    <w:rsid w:val="004445B8"/>
    <w:rsid w:val="004445FC"/>
    <w:rsid w:val="004461ED"/>
    <w:rsid w:val="0044642E"/>
    <w:rsid w:val="00446CA7"/>
    <w:rsid w:val="00447CEF"/>
    <w:rsid w:val="00447F7B"/>
    <w:rsid w:val="00450197"/>
    <w:rsid w:val="0045196C"/>
    <w:rsid w:val="00451C1A"/>
    <w:rsid w:val="00451D9D"/>
    <w:rsid w:val="0045344F"/>
    <w:rsid w:val="00453C79"/>
    <w:rsid w:val="00454743"/>
    <w:rsid w:val="00455423"/>
    <w:rsid w:val="004566B8"/>
    <w:rsid w:val="004568F3"/>
    <w:rsid w:val="00463834"/>
    <w:rsid w:val="004651A8"/>
    <w:rsid w:val="00465921"/>
    <w:rsid w:val="00465B02"/>
    <w:rsid w:val="00466421"/>
    <w:rsid w:val="00466E4B"/>
    <w:rsid w:val="00466F23"/>
    <w:rsid w:val="0047031F"/>
    <w:rsid w:val="00474D22"/>
    <w:rsid w:val="00475A99"/>
    <w:rsid w:val="004764B3"/>
    <w:rsid w:val="00477846"/>
    <w:rsid w:val="00480752"/>
    <w:rsid w:val="00481E71"/>
    <w:rsid w:val="00482898"/>
    <w:rsid w:val="00482FAF"/>
    <w:rsid w:val="00482FFE"/>
    <w:rsid w:val="00483041"/>
    <w:rsid w:val="00483584"/>
    <w:rsid w:val="004847FD"/>
    <w:rsid w:val="00484EDF"/>
    <w:rsid w:val="00487B01"/>
    <w:rsid w:val="00490206"/>
    <w:rsid w:val="00490698"/>
    <w:rsid w:val="00490CD6"/>
    <w:rsid w:val="00490D0A"/>
    <w:rsid w:val="00492617"/>
    <w:rsid w:val="004944A6"/>
    <w:rsid w:val="00496624"/>
    <w:rsid w:val="00496B54"/>
    <w:rsid w:val="00496F24"/>
    <w:rsid w:val="004974D9"/>
    <w:rsid w:val="004A11F4"/>
    <w:rsid w:val="004A1279"/>
    <w:rsid w:val="004A6D5D"/>
    <w:rsid w:val="004A7F3C"/>
    <w:rsid w:val="004B0A87"/>
    <w:rsid w:val="004B2C7F"/>
    <w:rsid w:val="004B2FC3"/>
    <w:rsid w:val="004B3058"/>
    <w:rsid w:val="004B4866"/>
    <w:rsid w:val="004B5615"/>
    <w:rsid w:val="004B6E61"/>
    <w:rsid w:val="004B7E6D"/>
    <w:rsid w:val="004C15E8"/>
    <w:rsid w:val="004C22CE"/>
    <w:rsid w:val="004C2366"/>
    <w:rsid w:val="004C4B5E"/>
    <w:rsid w:val="004C4E2C"/>
    <w:rsid w:val="004C6FF7"/>
    <w:rsid w:val="004C7A06"/>
    <w:rsid w:val="004D028F"/>
    <w:rsid w:val="004D0E88"/>
    <w:rsid w:val="004D1EB6"/>
    <w:rsid w:val="004D2AF5"/>
    <w:rsid w:val="004D31F6"/>
    <w:rsid w:val="004D3F5F"/>
    <w:rsid w:val="004D4E4C"/>
    <w:rsid w:val="004D4F1F"/>
    <w:rsid w:val="004D6497"/>
    <w:rsid w:val="004E06B0"/>
    <w:rsid w:val="004E0B3E"/>
    <w:rsid w:val="004E1B59"/>
    <w:rsid w:val="004E275E"/>
    <w:rsid w:val="004E29B6"/>
    <w:rsid w:val="004E3537"/>
    <w:rsid w:val="004E35CA"/>
    <w:rsid w:val="004E6C15"/>
    <w:rsid w:val="004E70DA"/>
    <w:rsid w:val="004E78E2"/>
    <w:rsid w:val="004F0FAB"/>
    <w:rsid w:val="004F15C4"/>
    <w:rsid w:val="004F1D73"/>
    <w:rsid w:val="004F1FBB"/>
    <w:rsid w:val="004F303E"/>
    <w:rsid w:val="004F6D66"/>
    <w:rsid w:val="004F72B5"/>
    <w:rsid w:val="004F78F6"/>
    <w:rsid w:val="00500081"/>
    <w:rsid w:val="005006D9"/>
    <w:rsid w:val="00501343"/>
    <w:rsid w:val="00501EAA"/>
    <w:rsid w:val="00503004"/>
    <w:rsid w:val="00503F09"/>
    <w:rsid w:val="00506DB0"/>
    <w:rsid w:val="00507B17"/>
    <w:rsid w:val="005109B4"/>
    <w:rsid w:val="00511758"/>
    <w:rsid w:val="00513FD2"/>
    <w:rsid w:val="005145AB"/>
    <w:rsid w:val="00514AA2"/>
    <w:rsid w:val="00514B5C"/>
    <w:rsid w:val="0051535B"/>
    <w:rsid w:val="00517136"/>
    <w:rsid w:val="005177AE"/>
    <w:rsid w:val="005211F4"/>
    <w:rsid w:val="00521887"/>
    <w:rsid w:val="005223FA"/>
    <w:rsid w:val="0052371C"/>
    <w:rsid w:val="005239CE"/>
    <w:rsid w:val="00523A3D"/>
    <w:rsid w:val="00523A40"/>
    <w:rsid w:val="00523C33"/>
    <w:rsid w:val="00525B36"/>
    <w:rsid w:val="00525C7F"/>
    <w:rsid w:val="00531F5B"/>
    <w:rsid w:val="00533611"/>
    <w:rsid w:val="005337CD"/>
    <w:rsid w:val="00535B9F"/>
    <w:rsid w:val="0053620C"/>
    <w:rsid w:val="00536289"/>
    <w:rsid w:val="005362C1"/>
    <w:rsid w:val="00536E6A"/>
    <w:rsid w:val="00537E19"/>
    <w:rsid w:val="0054071F"/>
    <w:rsid w:val="00541184"/>
    <w:rsid w:val="00542266"/>
    <w:rsid w:val="00542C7E"/>
    <w:rsid w:val="00543328"/>
    <w:rsid w:val="0054337C"/>
    <w:rsid w:val="0054416E"/>
    <w:rsid w:val="00545569"/>
    <w:rsid w:val="00546F7F"/>
    <w:rsid w:val="00547A4C"/>
    <w:rsid w:val="00551556"/>
    <w:rsid w:val="00554E5F"/>
    <w:rsid w:val="005556A9"/>
    <w:rsid w:val="00555B1B"/>
    <w:rsid w:val="0055642A"/>
    <w:rsid w:val="00556584"/>
    <w:rsid w:val="00561FF2"/>
    <w:rsid w:val="00562ECF"/>
    <w:rsid w:val="00565121"/>
    <w:rsid w:val="00565BDA"/>
    <w:rsid w:val="00566760"/>
    <w:rsid w:val="00566F67"/>
    <w:rsid w:val="005672B2"/>
    <w:rsid w:val="00567F53"/>
    <w:rsid w:val="00570C38"/>
    <w:rsid w:val="0057128A"/>
    <w:rsid w:val="005712A0"/>
    <w:rsid w:val="005718B8"/>
    <w:rsid w:val="005719AF"/>
    <w:rsid w:val="005725B1"/>
    <w:rsid w:val="0057367D"/>
    <w:rsid w:val="00573CC8"/>
    <w:rsid w:val="00574DCB"/>
    <w:rsid w:val="00575B89"/>
    <w:rsid w:val="00575E13"/>
    <w:rsid w:val="0057648E"/>
    <w:rsid w:val="00576BFA"/>
    <w:rsid w:val="00577E8A"/>
    <w:rsid w:val="005800D3"/>
    <w:rsid w:val="00581A02"/>
    <w:rsid w:val="00581FC7"/>
    <w:rsid w:val="005827A8"/>
    <w:rsid w:val="00582CB6"/>
    <w:rsid w:val="00583AAE"/>
    <w:rsid w:val="00584132"/>
    <w:rsid w:val="005848B2"/>
    <w:rsid w:val="00584EA5"/>
    <w:rsid w:val="005857FE"/>
    <w:rsid w:val="00585866"/>
    <w:rsid w:val="00586596"/>
    <w:rsid w:val="005912AD"/>
    <w:rsid w:val="005917E1"/>
    <w:rsid w:val="00592E16"/>
    <w:rsid w:val="00595052"/>
    <w:rsid w:val="005A02F4"/>
    <w:rsid w:val="005A0617"/>
    <w:rsid w:val="005A15CB"/>
    <w:rsid w:val="005A21E9"/>
    <w:rsid w:val="005A225C"/>
    <w:rsid w:val="005A3197"/>
    <w:rsid w:val="005A34BD"/>
    <w:rsid w:val="005A4142"/>
    <w:rsid w:val="005A43F3"/>
    <w:rsid w:val="005A4975"/>
    <w:rsid w:val="005A57D5"/>
    <w:rsid w:val="005A5E8E"/>
    <w:rsid w:val="005B00A6"/>
    <w:rsid w:val="005B1190"/>
    <w:rsid w:val="005B26DD"/>
    <w:rsid w:val="005B2A8F"/>
    <w:rsid w:val="005B429A"/>
    <w:rsid w:val="005B45DB"/>
    <w:rsid w:val="005B50E4"/>
    <w:rsid w:val="005C025F"/>
    <w:rsid w:val="005C07E4"/>
    <w:rsid w:val="005C09B4"/>
    <w:rsid w:val="005C0B79"/>
    <w:rsid w:val="005C12BC"/>
    <w:rsid w:val="005C14D6"/>
    <w:rsid w:val="005C43B2"/>
    <w:rsid w:val="005C5182"/>
    <w:rsid w:val="005C64E6"/>
    <w:rsid w:val="005D1D2B"/>
    <w:rsid w:val="005D1E73"/>
    <w:rsid w:val="005D3B4E"/>
    <w:rsid w:val="005D3B67"/>
    <w:rsid w:val="005D45B3"/>
    <w:rsid w:val="005D552C"/>
    <w:rsid w:val="005D5B58"/>
    <w:rsid w:val="005E0237"/>
    <w:rsid w:val="005E19E0"/>
    <w:rsid w:val="005E1F16"/>
    <w:rsid w:val="005E23E4"/>
    <w:rsid w:val="005E3790"/>
    <w:rsid w:val="005E4041"/>
    <w:rsid w:val="005F0761"/>
    <w:rsid w:val="005F08E1"/>
    <w:rsid w:val="005F112D"/>
    <w:rsid w:val="005F127A"/>
    <w:rsid w:val="005F163D"/>
    <w:rsid w:val="005F2D55"/>
    <w:rsid w:val="005F2E7A"/>
    <w:rsid w:val="005F37F2"/>
    <w:rsid w:val="005F59C0"/>
    <w:rsid w:val="005F5A63"/>
    <w:rsid w:val="005F5E1F"/>
    <w:rsid w:val="005F6214"/>
    <w:rsid w:val="005F65EC"/>
    <w:rsid w:val="005F6D3D"/>
    <w:rsid w:val="005F6D9B"/>
    <w:rsid w:val="005F6FB0"/>
    <w:rsid w:val="005F7F9E"/>
    <w:rsid w:val="00602250"/>
    <w:rsid w:val="00602B3E"/>
    <w:rsid w:val="00603069"/>
    <w:rsid w:val="00603A5E"/>
    <w:rsid w:val="00603A8F"/>
    <w:rsid w:val="00604A6B"/>
    <w:rsid w:val="0060535E"/>
    <w:rsid w:val="00605D12"/>
    <w:rsid w:val="006062FF"/>
    <w:rsid w:val="00606814"/>
    <w:rsid w:val="00606A53"/>
    <w:rsid w:val="00606FC7"/>
    <w:rsid w:val="00607E88"/>
    <w:rsid w:val="006114F0"/>
    <w:rsid w:val="0061383D"/>
    <w:rsid w:val="00613C44"/>
    <w:rsid w:val="00614981"/>
    <w:rsid w:val="00615FF2"/>
    <w:rsid w:val="00616792"/>
    <w:rsid w:val="00617809"/>
    <w:rsid w:val="00617AB0"/>
    <w:rsid w:val="006207B0"/>
    <w:rsid w:val="006210B5"/>
    <w:rsid w:val="006225AA"/>
    <w:rsid w:val="00622BA3"/>
    <w:rsid w:val="00622F79"/>
    <w:rsid w:val="00623C1C"/>
    <w:rsid w:val="006240A8"/>
    <w:rsid w:val="0062448F"/>
    <w:rsid w:val="00624E13"/>
    <w:rsid w:val="0062522A"/>
    <w:rsid w:val="006261CB"/>
    <w:rsid w:val="00626253"/>
    <w:rsid w:val="00626D35"/>
    <w:rsid w:val="00630255"/>
    <w:rsid w:val="00630931"/>
    <w:rsid w:val="00631C69"/>
    <w:rsid w:val="00632FCD"/>
    <w:rsid w:val="006332E1"/>
    <w:rsid w:val="00634C5E"/>
    <w:rsid w:val="00635016"/>
    <w:rsid w:val="00636589"/>
    <w:rsid w:val="006365BB"/>
    <w:rsid w:val="00641401"/>
    <w:rsid w:val="00641F7F"/>
    <w:rsid w:val="00641FE3"/>
    <w:rsid w:val="00643555"/>
    <w:rsid w:val="006447ED"/>
    <w:rsid w:val="00645C20"/>
    <w:rsid w:val="00647716"/>
    <w:rsid w:val="00652A3A"/>
    <w:rsid w:val="00654E5E"/>
    <w:rsid w:val="00655EEB"/>
    <w:rsid w:val="00656B40"/>
    <w:rsid w:val="00657771"/>
    <w:rsid w:val="006620DF"/>
    <w:rsid w:val="006625BA"/>
    <w:rsid w:val="006635C4"/>
    <w:rsid w:val="00671290"/>
    <w:rsid w:val="0067132A"/>
    <w:rsid w:val="00673F2F"/>
    <w:rsid w:val="0067578C"/>
    <w:rsid w:val="00675F1B"/>
    <w:rsid w:val="00676A86"/>
    <w:rsid w:val="00676DEB"/>
    <w:rsid w:val="00677228"/>
    <w:rsid w:val="0067793A"/>
    <w:rsid w:val="00680A14"/>
    <w:rsid w:val="00680B3B"/>
    <w:rsid w:val="00681588"/>
    <w:rsid w:val="00681EED"/>
    <w:rsid w:val="00682318"/>
    <w:rsid w:val="00683B8A"/>
    <w:rsid w:val="00683FF9"/>
    <w:rsid w:val="0068446A"/>
    <w:rsid w:val="00685914"/>
    <w:rsid w:val="0068782B"/>
    <w:rsid w:val="00690972"/>
    <w:rsid w:val="00690CD0"/>
    <w:rsid w:val="0069183D"/>
    <w:rsid w:val="00693C4E"/>
    <w:rsid w:val="00693F65"/>
    <w:rsid w:val="00694050"/>
    <w:rsid w:val="00694652"/>
    <w:rsid w:val="00695213"/>
    <w:rsid w:val="006A08D1"/>
    <w:rsid w:val="006A257D"/>
    <w:rsid w:val="006A2F3C"/>
    <w:rsid w:val="006A32A7"/>
    <w:rsid w:val="006A39E5"/>
    <w:rsid w:val="006A6A38"/>
    <w:rsid w:val="006A6CDD"/>
    <w:rsid w:val="006A755B"/>
    <w:rsid w:val="006B1A77"/>
    <w:rsid w:val="006B31A4"/>
    <w:rsid w:val="006B4207"/>
    <w:rsid w:val="006B5C30"/>
    <w:rsid w:val="006B7E4D"/>
    <w:rsid w:val="006C03ED"/>
    <w:rsid w:val="006C0A2A"/>
    <w:rsid w:val="006C0CC7"/>
    <w:rsid w:val="006C1511"/>
    <w:rsid w:val="006C2AAB"/>
    <w:rsid w:val="006C2B7E"/>
    <w:rsid w:val="006C31E1"/>
    <w:rsid w:val="006C38D3"/>
    <w:rsid w:val="006C4F1F"/>
    <w:rsid w:val="006D0733"/>
    <w:rsid w:val="006D23C2"/>
    <w:rsid w:val="006D27C8"/>
    <w:rsid w:val="006D3C86"/>
    <w:rsid w:val="006D4E04"/>
    <w:rsid w:val="006D4F17"/>
    <w:rsid w:val="006D6620"/>
    <w:rsid w:val="006D78ED"/>
    <w:rsid w:val="006E02F1"/>
    <w:rsid w:val="006E1121"/>
    <w:rsid w:val="006E1359"/>
    <w:rsid w:val="006E3D46"/>
    <w:rsid w:val="006E49D2"/>
    <w:rsid w:val="006F0A91"/>
    <w:rsid w:val="006F0D35"/>
    <w:rsid w:val="006F1722"/>
    <w:rsid w:val="006F206A"/>
    <w:rsid w:val="006F3667"/>
    <w:rsid w:val="006F399C"/>
    <w:rsid w:val="006F3C10"/>
    <w:rsid w:val="006F44B0"/>
    <w:rsid w:val="006F5700"/>
    <w:rsid w:val="006F5ECE"/>
    <w:rsid w:val="006F5F10"/>
    <w:rsid w:val="006F665E"/>
    <w:rsid w:val="006F6837"/>
    <w:rsid w:val="006F69E0"/>
    <w:rsid w:val="006F7B6A"/>
    <w:rsid w:val="0070086D"/>
    <w:rsid w:val="00700A59"/>
    <w:rsid w:val="007033DF"/>
    <w:rsid w:val="00704231"/>
    <w:rsid w:val="00704414"/>
    <w:rsid w:val="0070442A"/>
    <w:rsid w:val="00705084"/>
    <w:rsid w:val="0070551A"/>
    <w:rsid w:val="00706935"/>
    <w:rsid w:val="00706D81"/>
    <w:rsid w:val="00706F18"/>
    <w:rsid w:val="00707239"/>
    <w:rsid w:val="00707CD3"/>
    <w:rsid w:val="00707E25"/>
    <w:rsid w:val="00713853"/>
    <w:rsid w:val="007142A3"/>
    <w:rsid w:val="00714827"/>
    <w:rsid w:val="00715A2C"/>
    <w:rsid w:val="0071693C"/>
    <w:rsid w:val="00716E7B"/>
    <w:rsid w:val="00717AC5"/>
    <w:rsid w:val="00717B9D"/>
    <w:rsid w:val="007206E3"/>
    <w:rsid w:val="00720783"/>
    <w:rsid w:val="00720CB7"/>
    <w:rsid w:val="00721072"/>
    <w:rsid w:val="0072118F"/>
    <w:rsid w:val="00721C8E"/>
    <w:rsid w:val="00721E92"/>
    <w:rsid w:val="00721EE7"/>
    <w:rsid w:val="00722956"/>
    <w:rsid w:val="0072624E"/>
    <w:rsid w:val="00726ADD"/>
    <w:rsid w:val="0072741A"/>
    <w:rsid w:val="00727717"/>
    <w:rsid w:val="00727DF6"/>
    <w:rsid w:val="00730C54"/>
    <w:rsid w:val="007317E4"/>
    <w:rsid w:val="007347B5"/>
    <w:rsid w:val="007350D0"/>
    <w:rsid w:val="00740169"/>
    <w:rsid w:val="007437BC"/>
    <w:rsid w:val="0074459E"/>
    <w:rsid w:val="007445CC"/>
    <w:rsid w:val="00746253"/>
    <w:rsid w:val="00746C91"/>
    <w:rsid w:val="0075139A"/>
    <w:rsid w:val="00751E60"/>
    <w:rsid w:val="0075207D"/>
    <w:rsid w:val="007531FC"/>
    <w:rsid w:val="00760E0C"/>
    <w:rsid w:val="0076183C"/>
    <w:rsid w:val="00763C98"/>
    <w:rsid w:val="007641C7"/>
    <w:rsid w:val="007647B6"/>
    <w:rsid w:val="00766683"/>
    <w:rsid w:val="007700C3"/>
    <w:rsid w:val="007705E9"/>
    <w:rsid w:val="00772F92"/>
    <w:rsid w:val="007803BA"/>
    <w:rsid w:val="007818D8"/>
    <w:rsid w:val="00784A63"/>
    <w:rsid w:val="00786449"/>
    <w:rsid w:val="007871ED"/>
    <w:rsid w:val="00790FD6"/>
    <w:rsid w:val="00792110"/>
    <w:rsid w:val="00793100"/>
    <w:rsid w:val="007955DF"/>
    <w:rsid w:val="00797A3C"/>
    <w:rsid w:val="007A0A08"/>
    <w:rsid w:val="007A1EA5"/>
    <w:rsid w:val="007A3C1C"/>
    <w:rsid w:val="007A424D"/>
    <w:rsid w:val="007A4A0C"/>
    <w:rsid w:val="007B22D3"/>
    <w:rsid w:val="007B258B"/>
    <w:rsid w:val="007B3812"/>
    <w:rsid w:val="007B3CD3"/>
    <w:rsid w:val="007B443D"/>
    <w:rsid w:val="007B4757"/>
    <w:rsid w:val="007B4ADC"/>
    <w:rsid w:val="007B5825"/>
    <w:rsid w:val="007B673B"/>
    <w:rsid w:val="007B7217"/>
    <w:rsid w:val="007B76B5"/>
    <w:rsid w:val="007C07DE"/>
    <w:rsid w:val="007C2584"/>
    <w:rsid w:val="007C2A20"/>
    <w:rsid w:val="007C3633"/>
    <w:rsid w:val="007C3678"/>
    <w:rsid w:val="007C3764"/>
    <w:rsid w:val="007C55D9"/>
    <w:rsid w:val="007C5E80"/>
    <w:rsid w:val="007C67B3"/>
    <w:rsid w:val="007C7BB2"/>
    <w:rsid w:val="007D0AB1"/>
    <w:rsid w:val="007D1100"/>
    <w:rsid w:val="007D2A05"/>
    <w:rsid w:val="007D55F1"/>
    <w:rsid w:val="007D57C0"/>
    <w:rsid w:val="007D6251"/>
    <w:rsid w:val="007D6A48"/>
    <w:rsid w:val="007D7DA7"/>
    <w:rsid w:val="007E1039"/>
    <w:rsid w:val="007E1705"/>
    <w:rsid w:val="007E1EE8"/>
    <w:rsid w:val="007E3070"/>
    <w:rsid w:val="007E420B"/>
    <w:rsid w:val="007E42EC"/>
    <w:rsid w:val="007E48A8"/>
    <w:rsid w:val="007E54ED"/>
    <w:rsid w:val="007E57C6"/>
    <w:rsid w:val="007E7D44"/>
    <w:rsid w:val="007F1DF2"/>
    <w:rsid w:val="007F1F22"/>
    <w:rsid w:val="007F4F78"/>
    <w:rsid w:val="007F5280"/>
    <w:rsid w:val="007F6CED"/>
    <w:rsid w:val="00801E72"/>
    <w:rsid w:val="008020F0"/>
    <w:rsid w:val="00802DBB"/>
    <w:rsid w:val="00803848"/>
    <w:rsid w:val="00803BBA"/>
    <w:rsid w:val="00804189"/>
    <w:rsid w:val="008041F4"/>
    <w:rsid w:val="008042D5"/>
    <w:rsid w:val="00804C39"/>
    <w:rsid w:val="00805105"/>
    <w:rsid w:val="00805ED6"/>
    <w:rsid w:val="00806131"/>
    <w:rsid w:val="00806CA7"/>
    <w:rsid w:val="008070E9"/>
    <w:rsid w:val="008072B4"/>
    <w:rsid w:val="00807309"/>
    <w:rsid w:val="00810171"/>
    <w:rsid w:val="00810A95"/>
    <w:rsid w:val="00810B23"/>
    <w:rsid w:val="0081430E"/>
    <w:rsid w:val="00815A7D"/>
    <w:rsid w:val="00815E50"/>
    <w:rsid w:val="00816569"/>
    <w:rsid w:val="008169E8"/>
    <w:rsid w:val="0082144C"/>
    <w:rsid w:val="00821611"/>
    <w:rsid w:val="00821AFB"/>
    <w:rsid w:val="00822358"/>
    <w:rsid w:val="0082338E"/>
    <w:rsid w:val="008235B1"/>
    <w:rsid w:val="00823AFE"/>
    <w:rsid w:val="00824590"/>
    <w:rsid w:val="008256CC"/>
    <w:rsid w:val="00825985"/>
    <w:rsid w:val="00826BF9"/>
    <w:rsid w:val="00827CAE"/>
    <w:rsid w:val="00830201"/>
    <w:rsid w:val="008305F4"/>
    <w:rsid w:val="00831521"/>
    <w:rsid w:val="00831564"/>
    <w:rsid w:val="0083219B"/>
    <w:rsid w:val="0083243F"/>
    <w:rsid w:val="00832BF8"/>
    <w:rsid w:val="00834C2B"/>
    <w:rsid w:val="0083605A"/>
    <w:rsid w:val="0083680F"/>
    <w:rsid w:val="00840202"/>
    <w:rsid w:val="00840405"/>
    <w:rsid w:val="0084094E"/>
    <w:rsid w:val="008410D4"/>
    <w:rsid w:val="008411BF"/>
    <w:rsid w:val="00841482"/>
    <w:rsid w:val="0084207A"/>
    <w:rsid w:val="00842DF5"/>
    <w:rsid w:val="00843529"/>
    <w:rsid w:val="00845589"/>
    <w:rsid w:val="008475CF"/>
    <w:rsid w:val="008503BD"/>
    <w:rsid w:val="00850470"/>
    <w:rsid w:val="00851571"/>
    <w:rsid w:val="00851F21"/>
    <w:rsid w:val="00852157"/>
    <w:rsid w:val="00853F3F"/>
    <w:rsid w:val="00854CE3"/>
    <w:rsid w:val="00856352"/>
    <w:rsid w:val="008569E1"/>
    <w:rsid w:val="008573E9"/>
    <w:rsid w:val="00861FB8"/>
    <w:rsid w:val="00861FF0"/>
    <w:rsid w:val="00862AE5"/>
    <w:rsid w:val="00862EC5"/>
    <w:rsid w:val="008630E9"/>
    <w:rsid w:val="00863959"/>
    <w:rsid w:val="00863FB9"/>
    <w:rsid w:val="00866A5F"/>
    <w:rsid w:val="00871107"/>
    <w:rsid w:val="008713E7"/>
    <w:rsid w:val="008732E9"/>
    <w:rsid w:val="00873BD7"/>
    <w:rsid w:val="00873E5F"/>
    <w:rsid w:val="008762D4"/>
    <w:rsid w:val="008768A0"/>
    <w:rsid w:val="00876ECA"/>
    <w:rsid w:val="00877A71"/>
    <w:rsid w:val="00877AA1"/>
    <w:rsid w:val="00880664"/>
    <w:rsid w:val="008817FD"/>
    <w:rsid w:val="00881C8B"/>
    <w:rsid w:val="008835B9"/>
    <w:rsid w:val="00883F2B"/>
    <w:rsid w:val="00884CDE"/>
    <w:rsid w:val="00885767"/>
    <w:rsid w:val="00885FC7"/>
    <w:rsid w:val="0088709E"/>
    <w:rsid w:val="008871D2"/>
    <w:rsid w:val="00887E40"/>
    <w:rsid w:val="00890795"/>
    <w:rsid w:val="00891690"/>
    <w:rsid w:val="008924A7"/>
    <w:rsid w:val="008926E1"/>
    <w:rsid w:val="00892811"/>
    <w:rsid w:val="00893329"/>
    <w:rsid w:val="00894217"/>
    <w:rsid w:val="00895B67"/>
    <w:rsid w:val="00896D00"/>
    <w:rsid w:val="00897957"/>
    <w:rsid w:val="008A06D5"/>
    <w:rsid w:val="008A19FA"/>
    <w:rsid w:val="008A255C"/>
    <w:rsid w:val="008A4D72"/>
    <w:rsid w:val="008A7237"/>
    <w:rsid w:val="008A7BA4"/>
    <w:rsid w:val="008A7F99"/>
    <w:rsid w:val="008B0EC0"/>
    <w:rsid w:val="008B18BF"/>
    <w:rsid w:val="008B6387"/>
    <w:rsid w:val="008B71EE"/>
    <w:rsid w:val="008C0C16"/>
    <w:rsid w:val="008C1292"/>
    <w:rsid w:val="008C16B2"/>
    <w:rsid w:val="008C1797"/>
    <w:rsid w:val="008C1B3B"/>
    <w:rsid w:val="008C1C80"/>
    <w:rsid w:val="008C4489"/>
    <w:rsid w:val="008C7BB1"/>
    <w:rsid w:val="008D1D8F"/>
    <w:rsid w:val="008D2B18"/>
    <w:rsid w:val="008D38C5"/>
    <w:rsid w:val="008D5064"/>
    <w:rsid w:val="008D6B46"/>
    <w:rsid w:val="008E05F8"/>
    <w:rsid w:val="008E0BD8"/>
    <w:rsid w:val="008E1667"/>
    <w:rsid w:val="008E18D6"/>
    <w:rsid w:val="008E474C"/>
    <w:rsid w:val="008E549D"/>
    <w:rsid w:val="008E569A"/>
    <w:rsid w:val="008E6B7E"/>
    <w:rsid w:val="008E6D77"/>
    <w:rsid w:val="008E79FE"/>
    <w:rsid w:val="008E7E04"/>
    <w:rsid w:val="008F01BC"/>
    <w:rsid w:val="008F0D0C"/>
    <w:rsid w:val="008F4A9F"/>
    <w:rsid w:val="008F577F"/>
    <w:rsid w:val="008F6381"/>
    <w:rsid w:val="008F6A56"/>
    <w:rsid w:val="008F6E7A"/>
    <w:rsid w:val="008F7150"/>
    <w:rsid w:val="008F727F"/>
    <w:rsid w:val="008F7697"/>
    <w:rsid w:val="0090083B"/>
    <w:rsid w:val="00900BD8"/>
    <w:rsid w:val="00901558"/>
    <w:rsid w:val="00901EAE"/>
    <w:rsid w:val="00903DC6"/>
    <w:rsid w:val="0090487C"/>
    <w:rsid w:val="00904FED"/>
    <w:rsid w:val="009050FE"/>
    <w:rsid w:val="009055DA"/>
    <w:rsid w:val="00905863"/>
    <w:rsid w:val="0090686A"/>
    <w:rsid w:val="009100B6"/>
    <w:rsid w:val="00913127"/>
    <w:rsid w:val="009135F2"/>
    <w:rsid w:val="0091420B"/>
    <w:rsid w:val="00915A10"/>
    <w:rsid w:val="00916529"/>
    <w:rsid w:val="009200EF"/>
    <w:rsid w:val="0092012D"/>
    <w:rsid w:val="00920E8F"/>
    <w:rsid w:val="00920F66"/>
    <w:rsid w:val="00921B1E"/>
    <w:rsid w:val="00922A7C"/>
    <w:rsid w:val="00922E73"/>
    <w:rsid w:val="00923BC2"/>
    <w:rsid w:val="00924321"/>
    <w:rsid w:val="0092484E"/>
    <w:rsid w:val="009260E3"/>
    <w:rsid w:val="0092667A"/>
    <w:rsid w:val="00927AE5"/>
    <w:rsid w:val="00930E8D"/>
    <w:rsid w:val="00931EC8"/>
    <w:rsid w:val="00933B2A"/>
    <w:rsid w:val="00934322"/>
    <w:rsid w:val="00934BEB"/>
    <w:rsid w:val="0093527B"/>
    <w:rsid w:val="00936B2F"/>
    <w:rsid w:val="00937223"/>
    <w:rsid w:val="00937F6A"/>
    <w:rsid w:val="00940AE4"/>
    <w:rsid w:val="00940B6E"/>
    <w:rsid w:val="00941959"/>
    <w:rsid w:val="00941FC9"/>
    <w:rsid w:val="00942328"/>
    <w:rsid w:val="0094306E"/>
    <w:rsid w:val="00944550"/>
    <w:rsid w:val="009451CF"/>
    <w:rsid w:val="00945244"/>
    <w:rsid w:val="0094587B"/>
    <w:rsid w:val="00947286"/>
    <w:rsid w:val="00947A23"/>
    <w:rsid w:val="00950FE1"/>
    <w:rsid w:val="009510FD"/>
    <w:rsid w:val="0095117C"/>
    <w:rsid w:val="0095170D"/>
    <w:rsid w:val="00955530"/>
    <w:rsid w:val="00957830"/>
    <w:rsid w:val="00960933"/>
    <w:rsid w:val="009613B8"/>
    <w:rsid w:val="00961490"/>
    <w:rsid w:val="0096156C"/>
    <w:rsid w:val="00962744"/>
    <w:rsid w:val="00963809"/>
    <w:rsid w:val="00963E9E"/>
    <w:rsid w:val="00964481"/>
    <w:rsid w:val="00964A4D"/>
    <w:rsid w:val="0096591E"/>
    <w:rsid w:val="00965E6B"/>
    <w:rsid w:val="0096796F"/>
    <w:rsid w:val="00967E54"/>
    <w:rsid w:val="009703B7"/>
    <w:rsid w:val="009723E2"/>
    <w:rsid w:val="009723EE"/>
    <w:rsid w:val="00973038"/>
    <w:rsid w:val="00973D39"/>
    <w:rsid w:val="00975C82"/>
    <w:rsid w:val="009770C7"/>
    <w:rsid w:val="00980E33"/>
    <w:rsid w:val="00982CF2"/>
    <w:rsid w:val="00983318"/>
    <w:rsid w:val="00983542"/>
    <w:rsid w:val="00984F52"/>
    <w:rsid w:val="00985583"/>
    <w:rsid w:val="00986319"/>
    <w:rsid w:val="00987889"/>
    <w:rsid w:val="0099115A"/>
    <w:rsid w:val="0099206B"/>
    <w:rsid w:val="00992B18"/>
    <w:rsid w:val="00994522"/>
    <w:rsid w:val="009945FB"/>
    <w:rsid w:val="00994B48"/>
    <w:rsid w:val="00995BC7"/>
    <w:rsid w:val="009969F5"/>
    <w:rsid w:val="00996CA1"/>
    <w:rsid w:val="00997569"/>
    <w:rsid w:val="009A003E"/>
    <w:rsid w:val="009A2B98"/>
    <w:rsid w:val="009A3789"/>
    <w:rsid w:val="009A3AE3"/>
    <w:rsid w:val="009A4C28"/>
    <w:rsid w:val="009A5175"/>
    <w:rsid w:val="009A74D2"/>
    <w:rsid w:val="009B0CCA"/>
    <w:rsid w:val="009B1845"/>
    <w:rsid w:val="009B2517"/>
    <w:rsid w:val="009B2545"/>
    <w:rsid w:val="009B2606"/>
    <w:rsid w:val="009B2AAC"/>
    <w:rsid w:val="009B2ECE"/>
    <w:rsid w:val="009B3A12"/>
    <w:rsid w:val="009B4485"/>
    <w:rsid w:val="009B4E56"/>
    <w:rsid w:val="009B648C"/>
    <w:rsid w:val="009B65A7"/>
    <w:rsid w:val="009C1495"/>
    <w:rsid w:val="009C17EB"/>
    <w:rsid w:val="009C2187"/>
    <w:rsid w:val="009C228C"/>
    <w:rsid w:val="009C28A0"/>
    <w:rsid w:val="009C35B5"/>
    <w:rsid w:val="009C4152"/>
    <w:rsid w:val="009C444C"/>
    <w:rsid w:val="009D07CD"/>
    <w:rsid w:val="009D21EE"/>
    <w:rsid w:val="009D37DD"/>
    <w:rsid w:val="009D3E2D"/>
    <w:rsid w:val="009D5A87"/>
    <w:rsid w:val="009D5F18"/>
    <w:rsid w:val="009D72E4"/>
    <w:rsid w:val="009E0742"/>
    <w:rsid w:val="009E07F7"/>
    <w:rsid w:val="009E08A1"/>
    <w:rsid w:val="009E1B5F"/>
    <w:rsid w:val="009E1DCA"/>
    <w:rsid w:val="009E6B1F"/>
    <w:rsid w:val="009F0D94"/>
    <w:rsid w:val="009F366F"/>
    <w:rsid w:val="009F5B02"/>
    <w:rsid w:val="009F70A9"/>
    <w:rsid w:val="009F7116"/>
    <w:rsid w:val="009F7479"/>
    <w:rsid w:val="009F7837"/>
    <w:rsid w:val="00A02849"/>
    <w:rsid w:val="00A069C7"/>
    <w:rsid w:val="00A0771F"/>
    <w:rsid w:val="00A104B5"/>
    <w:rsid w:val="00A1060A"/>
    <w:rsid w:val="00A11569"/>
    <w:rsid w:val="00A11B27"/>
    <w:rsid w:val="00A11CE2"/>
    <w:rsid w:val="00A12786"/>
    <w:rsid w:val="00A13B43"/>
    <w:rsid w:val="00A14BD9"/>
    <w:rsid w:val="00A154CC"/>
    <w:rsid w:val="00A16A8C"/>
    <w:rsid w:val="00A16B8C"/>
    <w:rsid w:val="00A17217"/>
    <w:rsid w:val="00A17AC8"/>
    <w:rsid w:val="00A20EB1"/>
    <w:rsid w:val="00A228DF"/>
    <w:rsid w:val="00A22FD7"/>
    <w:rsid w:val="00A23567"/>
    <w:rsid w:val="00A26321"/>
    <w:rsid w:val="00A26407"/>
    <w:rsid w:val="00A265FF"/>
    <w:rsid w:val="00A26FAB"/>
    <w:rsid w:val="00A2778B"/>
    <w:rsid w:val="00A27C8E"/>
    <w:rsid w:val="00A30337"/>
    <w:rsid w:val="00A312D6"/>
    <w:rsid w:val="00A31FBC"/>
    <w:rsid w:val="00A31FED"/>
    <w:rsid w:val="00A33417"/>
    <w:rsid w:val="00A33E21"/>
    <w:rsid w:val="00A353ED"/>
    <w:rsid w:val="00A363BF"/>
    <w:rsid w:val="00A36466"/>
    <w:rsid w:val="00A40888"/>
    <w:rsid w:val="00A410EA"/>
    <w:rsid w:val="00A41E04"/>
    <w:rsid w:val="00A46614"/>
    <w:rsid w:val="00A46683"/>
    <w:rsid w:val="00A46756"/>
    <w:rsid w:val="00A476E5"/>
    <w:rsid w:val="00A47B16"/>
    <w:rsid w:val="00A50E81"/>
    <w:rsid w:val="00A515C7"/>
    <w:rsid w:val="00A51B6D"/>
    <w:rsid w:val="00A5298C"/>
    <w:rsid w:val="00A5416A"/>
    <w:rsid w:val="00A55E32"/>
    <w:rsid w:val="00A5678C"/>
    <w:rsid w:val="00A57E4D"/>
    <w:rsid w:val="00A6191C"/>
    <w:rsid w:val="00A62FAF"/>
    <w:rsid w:val="00A6323C"/>
    <w:rsid w:val="00A63F65"/>
    <w:rsid w:val="00A642F3"/>
    <w:rsid w:val="00A64446"/>
    <w:rsid w:val="00A66261"/>
    <w:rsid w:val="00A662FD"/>
    <w:rsid w:val="00A67430"/>
    <w:rsid w:val="00A6756D"/>
    <w:rsid w:val="00A701AC"/>
    <w:rsid w:val="00A72388"/>
    <w:rsid w:val="00A72897"/>
    <w:rsid w:val="00A738CB"/>
    <w:rsid w:val="00A750F3"/>
    <w:rsid w:val="00A7579A"/>
    <w:rsid w:val="00A7726E"/>
    <w:rsid w:val="00A77352"/>
    <w:rsid w:val="00A774EC"/>
    <w:rsid w:val="00A8106C"/>
    <w:rsid w:val="00A82D88"/>
    <w:rsid w:val="00A82DE0"/>
    <w:rsid w:val="00A8647F"/>
    <w:rsid w:val="00A86D01"/>
    <w:rsid w:val="00A86E95"/>
    <w:rsid w:val="00A87CA0"/>
    <w:rsid w:val="00A90D10"/>
    <w:rsid w:val="00A9175E"/>
    <w:rsid w:val="00A93430"/>
    <w:rsid w:val="00A934F2"/>
    <w:rsid w:val="00A940DB"/>
    <w:rsid w:val="00A96DA3"/>
    <w:rsid w:val="00A97782"/>
    <w:rsid w:val="00AA4783"/>
    <w:rsid w:val="00AA49CF"/>
    <w:rsid w:val="00AA5011"/>
    <w:rsid w:val="00AA659E"/>
    <w:rsid w:val="00AA7207"/>
    <w:rsid w:val="00AA7D19"/>
    <w:rsid w:val="00AB0D01"/>
    <w:rsid w:val="00AB1586"/>
    <w:rsid w:val="00AB1677"/>
    <w:rsid w:val="00AB2AAD"/>
    <w:rsid w:val="00AB2EDF"/>
    <w:rsid w:val="00AB3980"/>
    <w:rsid w:val="00AB477F"/>
    <w:rsid w:val="00AB4D08"/>
    <w:rsid w:val="00AB5118"/>
    <w:rsid w:val="00AB54CC"/>
    <w:rsid w:val="00AB688F"/>
    <w:rsid w:val="00AB6BAE"/>
    <w:rsid w:val="00AC1524"/>
    <w:rsid w:val="00AC1E6A"/>
    <w:rsid w:val="00AC2D05"/>
    <w:rsid w:val="00AC2DCE"/>
    <w:rsid w:val="00AC49B6"/>
    <w:rsid w:val="00AC5D13"/>
    <w:rsid w:val="00AC7838"/>
    <w:rsid w:val="00AD03A5"/>
    <w:rsid w:val="00AD1080"/>
    <w:rsid w:val="00AD1C0F"/>
    <w:rsid w:val="00AD51A5"/>
    <w:rsid w:val="00AD76F7"/>
    <w:rsid w:val="00AE1FE3"/>
    <w:rsid w:val="00AE3046"/>
    <w:rsid w:val="00AE30BF"/>
    <w:rsid w:val="00AE37B5"/>
    <w:rsid w:val="00AE385A"/>
    <w:rsid w:val="00AE3F76"/>
    <w:rsid w:val="00AE5477"/>
    <w:rsid w:val="00AE6917"/>
    <w:rsid w:val="00AE7E26"/>
    <w:rsid w:val="00AF17C6"/>
    <w:rsid w:val="00AF3A52"/>
    <w:rsid w:val="00AF50AF"/>
    <w:rsid w:val="00AF5D58"/>
    <w:rsid w:val="00AF666B"/>
    <w:rsid w:val="00AF719C"/>
    <w:rsid w:val="00B002BD"/>
    <w:rsid w:val="00B029CD"/>
    <w:rsid w:val="00B04145"/>
    <w:rsid w:val="00B05026"/>
    <w:rsid w:val="00B05552"/>
    <w:rsid w:val="00B05580"/>
    <w:rsid w:val="00B0560C"/>
    <w:rsid w:val="00B06A5B"/>
    <w:rsid w:val="00B101F9"/>
    <w:rsid w:val="00B10C2C"/>
    <w:rsid w:val="00B10DD3"/>
    <w:rsid w:val="00B10DF7"/>
    <w:rsid w:val="00B12BD2"/>
    <w:rsid w:val="00B13EA8"/>
    <w:rsid w:val="00B14790"/>
    <w:rsid w:val="00B14ED9"/>
    <w:rsid w:val="00B154ED"/>
    <w:rsid w:val="00B15682"/>
    <w:rsid w:val="00B167CD"/>
    <w:rsid w:val="00B16E28"/>
    <w:rsid w:val="00B174D9"/>
    <w:rsid w:val="00B1768C"/>
    <w:rsid w:val="00B17CDD"/>
    <w:rsid w:val="00B20FF4"/>
    <w:rsid w:val="00B2171D"/>
    <w:rsid w:val="00B23EEF"/>
    <w:rsid w:val="00B242C0"/>
    <w:rsid w:val="00B25519"/>
    <w:rsid w:val="00B26B1D"/>
    <w:rsid w:val="00B27205"/>
    <w:rsid w:val="00B27596"/>
    <w:rsid w:val="00B278F8"/>
    <w:rsid w:val="00B30841"/>
    <w:rsid w:val="00B30B5F"/>
    <w:rsid w:val="00B3186B"/>
    <w:rsid w:val="00B31992"/>
    <w:rsid w:val="00B31B9B"/>
    <w:rsid w:val="00B31D72"/>
    <w:rsid w:val="00B32522"/>
    <w:rsid w:val="00B336AB"/>
    <w:rsid w:val="00B358D7"/>
    <w:rsid w:val="00B35914"/>
    <w:rsid w:val="00B400C6"/>
    <w:rsid w:val="00B41E5A"/>
    <w:rsid w:val="00B4227D"/>
    <w:rsid w:val="00B42681"/>
    <w:rsid w:val="00B42847"/>
    <w:rsid w:val="00B4509F"/>
    <w:rsid w:val="00B462B6"/>
    <w:rsid w:val="00B475D6"/>
    <w:rsid w:val="00B47D69"/>
    <w:rsid w:val="00B504CB"/>
    <w:rsid w:val="00B51F25"/>
    <w:rsid w:val="00B522B6"/>
    <w:rsid w:val="00B528DB"/>
    <w:rsid w:val="00B52AD0"/>
    <w:rsid w:val="00B539A5"/>
    <w:rsid w:val="00B551AA"/>
    <w:rsid w:val="00B553CF"/>
    <w:rsid w:val="00B60CBD"/>
    <w:rsid w:val="00B61783"/>
    <w:rsid w:val="00B62940"/>
    <w:rsid w:val="00B62D52"/>
    <w:rsid w:val="00B63128"/>
    <w:rsid w:val="00B63732"/>
    <w:rsid w:val="00B644CB"/>
    <w:rsid w:val="00B65240"/>
    <w:rsid w:val="00B657E9"/>
    <w:rsid w:val="00B65E7B"/>
    <w:rsid w:val="00B666BC"/>
    <w:rsid w:val="00B6790E"/>
    <w:rsid w:val="00B67EEA"/>
    <w:rsid w:val="00B703A3"/>
    <w:rsid w:val="00B720B4"/>
    <w:rsid w:val="00B72F5D"/>
    <w:rsid w:val="00B73943"/>
    <w:rsid w:val="00B748BD"/>
    <w:rsid w:val="00B7493D"/>
    <w:rsid w:val="00B76561"/>
    <w:rsid w:val="00B76C09"/>
    <w:rsid w:val="00B77B56"/>
    <w:rsid w:val="00B801AC"/>
    <w:rsid w:val="00B8072D"/>
    <w:rsid w:val="00B80BE5"/>
    <w:rsid w:val="00B823F5"/>
    <w:rsid w:val="00B825C9"/>
    <w:rsid w:val="00B8320E"/>
    <w:rsid w:val="00B83EA7"/>
    <w:rsid w:val="00B85066"/>
    <w:rsid w:val="00B86A9D"/>
    <w:rsid w:val="00B86E9F"/>
    <w:rsid w:val="00B87054"/>
    <w:rsid w:val="00B87A0C"/>
    <w:rsid w:val="00B87B38"/>
    <w:rsid w:val="00B909AF"/>
    <w:rsid w:val="00B91239"/>
    <w:rsid w:val="00B917FA"/>
    <w:rsid w:val="00B91848"/>
    <w:rsid w:val="00B91AA8"/>
    <w:rsid w:val="00B91B3B"/>
    <w:rsid w:val="00B928DF"/>
    <w:rsid w:val="00B9702B"/>
    <w:rsid w:val="00B977CF"/>
    <w:rsid w:val="00BA0968"/>
    <w:rsid w:val="00BA428D"/>
    <w:rsid w:val="00BA4F1B"/>
    <w:rsid w:val="00BA57C9"/>
    <w:rsid w:val="00BB1126"/>
    <w:rsid w:val="00BB173E"/>
    <w:rsid w:val="00BB259C"/>
    <w:rsid w:val="00BB3964"/>
    <w:rsid w:val="00BB51DD"/>
    <w:rsid w:val="00BB5D7E"/>
    <w:rsid w:val="00BB7CBB"/>
    <w:rsid w:val="00BC0D57"/>
    <w:rsid w:val="00BC1740"/>
    <w:rsid w:val="00BC2EE9"/>
    <w:rsid w:val="00BC402C"/>
    <w:rsid w:val="00BC47B4"/>
    <w:rsid w:val="00BC48DC"/>
    <w:rsid w:val="00BC4AAC"/>
    <w:rsid w:val="00BC4D3B"/>
    <w:rsid w:val="00BC5A9A"/>
    <w:rsid w:val="00BC602B"/>
    <w:rsid w:val="00BC65D9"/>
    <w:rsid w:val="00BC667E"/>
    <w:rsid w:val="00BC6AA7"/>
    <w:rsid w:val="00BC6ED6"/>
    <w:rsid w:val="00BD1784"/>
    <w:rsid w:val="00BD2286"/>
    <w:rsid w:val="00BD2761"/>
    <w:rsid w:val="00BD2BE5"/>
    <w:rsid w:val="00BD3F90"/>
    <w:rsid w:val="00BD4D34"/>
    <w:rsid w:val="00BD617B"/>
    <w:rsid w:val="00BD6315"/>
    <w:rsid w:val="00BD6F05"/>
    <w:rsid w:val="00BD7907"/>
    <w:rsid w:val="00BD7B71"/>
    <w:rsid w:val="00BE09FC"/>
    <w:rsid w:val="00BE10CB"/>
    <w:rsid w:val="00BE1DBD"/>
    <w:rsid w:val="00BE2063"/>
    <w:rsid w:val="00BE20D5"/>
    <w:rsid w:val="00BE2200"/>
    <w:rsid w:val="00BE2AC5"/>
    <w:rsid w:val="00BE2EA6"/>
    <w:rsid w:val="00BE3BBB"/>
    <w:rsid w:val="00BE50C7"/>
    <w:rsid w:val="00BE52A2"/>
    <w:rsid w:val="00BE74B5"/>
    <w:rsid w:val="00BE777A"/>
    <w:rsid w:val="00BF05F5"/>
    <w:rsid w:val="00BF121E"/>
    <w:rsid w:val="00BF24F4"/>
    <w:rsid w:val="00BF515D"/>
    <w:rsid w:val="00BF56FC"/>
    <w:rsid w:val="00BF5818"/>
    <w:rsid w:val="00BF7A9C"/>
    <w:rsid w:val="00C009B0"/>
    <w:rsid w:val="00C01264"/>
    <w:rsid w:val="00C027D1"/>
    <w:rsid w:val="00C03283"/>
    <w:rsid w:val="00C03B25"/>
    <w:rsid w:val="00C04713"/>
    <w:rsid w:val="00C0486F"/>
    <w:rsid w:val="00C07F6E"/>
    <w:rsid w:val="00C128D2"/>
    <w:rsid w:val="00C1352F"/>
    <w:rsid w:val="00C13DC6"/>
    <w:rsid w:val="00C14EFF"/>
    <w:rsid w:val="00C160BF"/>
    <w:rsid w:val="00C16CBA"/>
    <w:rsid w:val="00C203FB"/>
    <w:rsid w:val="00C205E3"/>
    <w:rsid w:val="00C20A9B"/>
    <w:rsid w:val="00C20B00"/>
    <w:rsid w:val="00C216FA"/>
    <w:rsid w:val="00C2210C"/>
    <w:rsid w:val="00C23466"/>
    <w:rsid w:val="00C24FB3"/>
    <w:rsid w:val="00C25851"/>
    <w:rsid w:val="00C266E5"/>
    <w:rsid w:val="00C27AD0"/>
    <w:rsid w:val="00C3106F"/>
    <w:rsid w:val="00C315BF"/>
    <w:rsid w:val="00C31D89"/>
    <w:rsid w:val="00C321E6"/>
    <w:rsid w:val="00C329ED"/>
    <w:rsid w:val="00C36DD7"/>
    <w:rsid w:val="00C408F1"/>
    <w:rsid w:val="00C43D13"/>
    <w:rsid w:val="00C4623C"/>
    <w:rsid w:val="00C50909"/>
    <w:rsid w:val="00C50A5F"/>
    <w:rsid w:val="00C511D9"/>
    <w:rsid w:val="00C51F8D"/>
    <w:rsid w:val="00C5201D"/>
    <w:rsid w:val="00C53C9A"/>
    <w:rsid w:val="00C546E9"/>
    <w:rsid w:val="00C54D7F"/>
    <w:rsid w:val="00C54F4D"/>
    <w:rsid w:val="00C5594C"/>
    <w:rsid w:val="00C56A08"/>
    <w:rsid w:val="00C56ACC"/>
    <w:rsid w:val="00C577CE"/>
    <w:rsid w:val="00C63EB8"/>
    <w:rsid w:val="00C63FB3"/>
    <w:rsid w:val="00C65A90"/>
    <w:rsid w:val="00C67C02"/>
    <w:rsid w:val="00C67C2F"/>
    <w:rsid w:val="00C7210A"/>
    <w:rsid w:val="00C7241B"/>
    <w:rsid w:val="00C741D8"/>
    <w:rsid w:val="00C745C2"/>
    <w:rsid w:val="00C76328"/>
    <w:rsid w:val="00C76FC7"/>
    <w:rsid w:val="00C8130C"/>
    <w:rsid w:val="00C8178B"/>
    <w:rsid w:val="00C82A37"/>
    <w:rsid w:val="00C83B66"/>
    <w:rsid w:val="00C8428E"/>
    <w:rsid w:val="00C84630"/>
    <w:rsid w:val="00C8498A"/>
    <w:rsid w:val="00C8539F"/>
    <w:rsid w:val="00C866F2"/>
    <w:rsid w:val="00C86857"/>
    <w:rsid w:val="00C86A17"/>
    <w:rsid w:val="00C871AA"/>
    <w:rsid w:val="00C903CB"/>
    <w:rsid w:val="00C904E7"/>
    <w:rsid w:val="00C90E6B"/>
    <w:rsid w:val="00C9151B"/>
    <w:rsid w:val="00C91ECA"/>
    <w:rsid w:val="00C93861"/>
    <w:rsid w:val="00C93915"/>
    <w:rsid w:val="00C93BBD"/>
    <w:rsid w:val="00C93D34"/>
    <w:rsid w:val="00C94570"/>
    <w:rsid w:val="00C97FEC"/>
    <w:rsid w:val="00CA10BA"/>
    <w:rsid w:val="00CA144D"/>
    <w:rsid w:val="00CA26F0"/>
    <w:rsid w:val="00CA2D66"/>
    <w:rsid w:val="00CA5425"/>
    <w:rsid w:val="00CA59B7"/>
    <w:rsid w:val="00CA5D14"/>
    <w:rsid w:val="00CA647F"/>
    <w:rsid w:val="00CA654D"/>
    <w:rsid w:val="00CA6DB4"/>
    <w:rsid w:val="00CA761D"/>
    <w:rsid w:val="00CA7A75"/>
    <w:rsid w:val="00CA7E23"/>
    <w:rsid w:val="00CB0756"/>
    <w:rsid w:val="00CB1072"/>
    <w:rsid w:val="00CB1AB6"/>
    <w:rsid w:val="00CB20D4"/>
    <w:rsid w:val="00CB3917"/>
    <w:rsid w:val="00CB75E2"/>
    <w:rsid w:val="00CB7BD6"/>
    <w:rsid w:val="00CC0660"/>
    <w:rsid w:val="00CC06E5"/>
    <w:rsid w:val="00CC13A4"/>
    <w:rsid w:val="00CC13E3"/>
    <w:rsid w:val="00CC19C8"/>
    <w:rsid w:val="00CC1F9C"/>
    <w:rsid w:val="00CC2441"/>
    <w:rsid w:val="00CC2F65"/>
    <w:rsid w:val="00CC30E1"/>
    <w:rsid w:val="00CC37C0"/>
    <w:rsid w:val="00CC467A"/>
    <w:rsid w:val="00CC4861"/>
    <w:rsid w:val="00CC4B65"/>
    <w:rsid w:val="00CC4EF0"/>
    <w:rsid w:val="00CC5DE1"/>
    <w:rsid w:val="00CC643D"/>
    <w:rsid w:val="00CC6972"/>
    <w:rsid w:val="00CC6AFE"/>
    <w:rsid w:val="00CC6E1E"/>
    <w:rsid w:val="00CD1869"/>
    <w:rsid w:val="00CD24F3"/>
    <w:rsid w:val="00CD2A16"/>
    <w:rsid w:val="00CD2A5E"/>
    <w:rsid w:val="00CD4EBB"/>
    <w:rsid w:val="00CD4F82"/>
    <w:rsid w:val="00CD51A3"/>
    <w:rsid w:val="00CD5BE3"/>
    <w:rsid w:val="00CD6BB8"/>
    <w:rsid w:val="00CD6C69"/>
    <w:rsid w:val="00CD6D41"/>
    <w:rsid w:val="00CD76FA"/>
    <w:rsid w:val="00CD7838"/>
    <w:rsid w:val="00CD7FFA"/>
    <w:rsid w:val="00CE0B8F"/>
    <w:rsid w:val="00CE64B0"/>
    <w:rsid w:val="00CE68B3"/>
    <w:rsid w:val="00CF0E95"/>
    <w:rsid w:val="00CF17B0"/>
    <w:rsid w:val="00CF1EA0"/>
    <w:rsid w:val="00CF2990"/>
    <w:rsid w:val="00CF2A2C"/>
    <w:rsid w:val="00CF3530"/>
    <w:rsid w:val="00CF5041"/>
    <w:rsid w:val="00CF5424"/>
    <w:rsid w:val="00CF5C06"/>
    <w:rsid w:val="00CF7844"/>
    <w:rsid w:val="00D00A75"/>
    <w:rsid w:val="00D027C1"/>
    <w:rsid w:val="00D02FD1"/>
    <w:rsid w:val="00D0367A"/>
    <w:rsid w:val="00D0509E"/>
    <w:rsid w:val="00D06259"/>
    <w:rsid w:val="00D06D36"/>
    <w:rsid w:val="00D07242"/>
    <w:rsid w:val="00D1181F"/>
    <w:rsid w:val="00D11C8A"/>
    <w:rsid w:val="00D1216F"/>
    <w:rsid w:val="00D12B48"/>
    <w:rsid w:val="00D132E4"/>
    <w:rsid w:val="00D1353E"/>
    <w:rsid w:val="00D13C20"/>
    <w:rsid w:val="00D13D23"/>
    <w:rsid w:val="00D1509B"/>
    <w:rsid w:val="00D16AED"/>
    <w:rsid w:val="00D1742D"/>
    <w:rsid w:val="00D17859"/>
    <w:rsid w:val="00D201F3"/>
    <w:rsid w:val="00D20420"/>
    <w:rsid w:val="00D20FD4"/>
    <w:rsid w:val="00D21945"/>
    <w:rsid w:val="00D22004"/>
    <w:rsid w:val="00D24121"/>
    <w:rsid w:val="00D26393"/>
    <w:rsid w:val="00D26BC4"/>
    <w:rsid w:val="00D2737A"/>
    <w:rsid w:val="00D31739"/>
    <w:rsid w:val="00D31F2C"/>
    <w:rsid w:val="00D344D4"/>
    <w:rsid w:val="00D34A25"/>
    <w:rsid w:val="00D35B1C"/>
    <w:rsid w:val="00D36A63"/>
    <w:rsid w:val="00D42AD9"/>
    <w:rsid w:val="00D42E94"/>
    <w:rsid w:val="00D42F68"/>
    <w:rsid w:val="00D445E0"/>
    <w:rsid w:val="00D46247"/>
    <w:rsid w:val="00D51FF9"/>
    <w:rsid w:val="00D52517"/>
    <w:rsid w:val="00D53ABC"/>
    <w:rsid w:val="00D553A6"/>
    <w:rsid w:val="00D55838"/>
    <w:rsid w:val="00D561A5"/>
    <w:rsid w:val="00D60016"/>
    <w:rsid w:val="00D6132C"/>
    <w:rsid w:val="00D61B11"/>
    <w:rsid w:val="00D61E78"/>
    <w:rsid w:val="00D62E0B"/>
    <w:rsid w:val="00D631F3"/>
    <w:rsid w:val="00D63C48"/>
    <w:rsid w:val="00D64695"/>
    <w:rsid w:val="00D6473E"/>
    <w:rsid w:val="00D65D5D"/>
    <w:rsid w:val="00D66DE0"/>
    <w:rsid w:val="00D67212"/>
    <w:rsid w:val="00D7007B"/>
    <w:rsid w:val="00D7102F"/>
    <w:rsid w:val="00D729ED"/>
    <w:rsid w:val="00D72CE9"/>
    <w:rsid w:val="00D72D35"/>
    <w:rsid w:val="00D767A2"/>
    <w:rsid w:val="00D772FC"/>
    <w:rsid w:val="00D77570"/>
    <w:rsid w:val="00D77CF0"/>
    <w:rsid w:val="00D77D6E"/>
    <w:rsid w:val="00D80B7E"/>
    <w:rsid w:val="00D81781"/>
    <w:rsid w:val="00D82043"/>
    <w:rsid w:val="00D83A16"/>
    <w:rsid w:val="00D83EDD"/>
    <w:rsid w:val="00D8459E"/>
    <w:rsid w:val="00D85B19"/>
    <w:rsid w:val="00D85FDF"/>
    <w:rsid w:val="00D91404"/>
    <w:rsid w:val="00D91547"/>
    <w:rsid w:val="00D91CB8"/>
    <w:rsid w:val="00D9230D"/>
    <w:rsid w:val="00D92625"/>
    <w:rsid w:val="00D92B7C"/>
    <w:rsid w:val="00D94E1F"/>
    <w:rsid w:val="00D95085"/>
    <w:rsid w:val="00D95584"/>
    <w:rsid w:val="00DA004D"/>
    <w:rsid w:val="00DA0E09"/>
    <w:rsid w:val="00DA1501"/>
    <w:rsid w:val="00DA3608"/>
    <w:rsid w:val="00DA3DB5"/>
    <w:rsid w:val="00DA5BDB"/>
    <w:rsid w:val="00DA6AFC"/>
    <w:rsid w:val="00DA790D"/>
    <w:rsid w:val="00DA7FBE"/>
    <w:rsid w:val="00DB0058"/>
    <w:rsid w:val="00DB024A"/>
    <w:rsid w:val="00DB1577"/>
    <w:rsid w:val="00DB1791"/>
    <w:rsid w:val="00DB1D2F"/>
    <w:rsid w:val="00DB2E9D"/>
    <w:rsid w:val="00DB3114"/>
    <w:rsid w:val="00DB3CD6"/>
    <w:rsid w:val="00DB5054"/>
    <w:rsid w:val="00DC0B0D"/>
    <w:rsid w:val="00DC1201"/>
    <w:rsid w:val="00DC1F7F"/>
    <w:rsid w:val="00DC2975"/>
    <w:rsid w:val="00DC2B6F"/>
    <w:rsid w:val="00DC32B0"/>
    <w:rsid w:val="00DC3329"/>
    <w:rsid w:val="00DC371F"/>
    <w:rsid w:val="00DC4361"/>
    <w:rsid w:val="00DC5391"/>
    <w:rsid w:val="00DC55E7"/>
    <w:rsid w:val="00DC6B1F"/>
    <w:rsid w:val="00DD0CDA"/>
    <w:rsid w:val="00DD1089"/>
    <w:rsid w:val="00DD16B0"/>
    <w:rsid w:val="00DD1A9F"/>
    <w:rsid w:val="00DD1D6B"/>
    <w:rsid w:val="00DD2BD3"/>
    <w:rsid w:val="00DD3630"/>
    <w:rsid w:val="00DD42FF"/>
    <w:rsid w:val="00DD541C"/>
    <w:rsid w:val="00DD727F"/>
    <w:rsid w:val="00DE2B8D"/>
    <w:rsid w:val="00DE3AB6"/>
    <w:rsid w:val="00DE43B0"/>
    <w:rsid w:val="00DE5018"/>
    <w:rsid w:val="00DE6BBD"/>
    <w:rsid w:val="00DE71A1"/>
    <w:rsid w:val="00DE75BC"/>
    <w:rsid w:val="00DF0147"/>
    <w:rsid w:val="00DF55DC"/>
    <w:rsid w:val="00DF5EBE"/>
    <w:rsid w:val="00DF61BC"/>
    <w:rsid w:val="00E02BA6"/>
    <w:rsid w:val="00E03A13"/>
    <w:rsid w:val="00E045AB"/>
    <w:rsid w:val="00E05B63"/>
    <w:rsid w:val="00E06071"/>
    <w:rsid w:val="00E06A0C"/>
    <w:rsid w:val="00E070A2"/>
    <w:rsid w:val="00E102B4"/>
    <w:rsid w:val="00E10AFB"/>
    <w:rsid w:val="00E11F61"/>
    <w:rsid w:val="00E11F90"/>
    <w:rsid w:val="00E12BA6"/>
    <w:rsid w:val="00E12D92"/>
    <w:rsid w:val="00E131FB"/>
    <w:rsid w:val="00E13A28"/>
    <w:rsid w:val="00E13AE7"/>
    <w:rsid w:val="00E14883"/>
    <w:rsid w:val="00E15410"/>
    <w:rsid w:val="00E16089"/>
    <w:rsid w:val="00E16733"/>
    <w:rsid w:val="00E16D9F"/>
    <w:rsid w:val="00E170B1"/>
    <w:rsid w:val="00E21B8B"/>
    <w:rsid w:val="00E24087"/>
    <w:rsid w:val="00E240D3"/>
    <w:rsid w:val="00E24AC7"/>
    <w:rsid w:val="00E24CD4"/>
    <w:rsid w:val="00E24FCA"/>
    <w:rsid w:val="00E25E62"/>
    <w:rsid w:val="00E265D3"/>
    <w:rsid w:val="00E268F3"/>
    <w:rsid w:val="00E30AAF"/>
    <w:rsid w:val="00E30BD8"/>
    <w:rsid w:val="00E313E4"/>
    <w:rsid w:val="00E331AF"/>
    <w:rsid w:val="00E35583"/>
    <w:rsid w:val="00E3574E"/>
    <w:rsid w:val="00E358D4"/>
    <w:rsid w:val="00E3607B"/>
    <w:rsid w:val="00E366BC"/>
    <w:rsid w:val="00E36FD8"/>
    <w:rsid w:val="00E371D2"/>
    <w:rsid w:val="00E378C8"/>
    <w:rsid w:val="00E37C00"/>
    <w:rsid w:val="00E41B0A"/>
    <w:rsid w:val="00E4246E"/>
    <w:rsid w:val="00E42DD8"/>
    <w:rsid w:val="00E4359A"/>
    <w:rsid w:val="00E43979"/>
    <w:rsid w:val="00E439A0"/>
    <w:rsid w:val="00E44728"/>
    <w:rsid w:val="00E45334"/>
    <w:rsid w:val="00E45BE2"/>
    <w:rsid w:val="00E45CF5"/>
    <w:rsid w:val="00E4682E"/>
    <w:rsid w:val="00E4690B"/>
    <w:rsid w:val="00E47F74"/>
    <w:rsid w:val="00E50D30"/>
    <w:rsid w:val="00E50F69"/>
    <w:rsid w:val="00E51853"/>
    <w:rsid w:val="00E53421"/>
    <w:rsid w:val="00E53839"/>
    <w:rsid w:val="00E53B08"/>
    <w:rsid w:val="00E53B9C"/>
    <w:rsid w:val="00E55AFF"/>
    <w:rsid w:val="00E5626D"/>
    <w:rsid w:val="00E56547"/>
    <w:rsid w:val="00E60DFF"/>
    <w:rsid w:val="00E6257B"/>
    <w:rsid w:val="00E64296"/>
    <w:rsid w:val="00E648B6"/>
    <w:rsid w:val="00E65050"/>
    <w:rsid w:val="00E66127"/>
    <w:rsid w:val="00E674E0"/>
    <w:rsid w:val="00E67B94"/>
    <w:rsid w:val="00E70694"/>
    <w:rsid w:val="00E711A2"/>
    <w:rsid w:val="00E71A11"/>
    <w:rsid w:val="00E71AAC"/>
    <w:rsid w:val="00E71EDB"/>
    <w:rsid w:val="00E721EE"/>
    <w:rsid w:val="00E73BCA"/>
    <w:rsid w:val="00E74425"/>
    <w:rsid w:val="00E757F6"/>
    <w:rsid w:val="00E758A3"/>
    <w:rsid w:val="00E7640D"/>
    <w:rsid w:val="00E80BBA"/>
    <w:rsid w:val="00E8223F"/>
    <w:rsid w:val="00E822B3"/>
    <w:rsid w:val="00E832B0"/>
    <w:rsid w:val="00E83811"/>
    <w:rsid w:val="00E8413B"/>
    <w:rsid w:val="00E84BAB"/>
    <w:rsid w:val="00E8651D"/>
    <w:rsid w:val="00E9038A"/>
    <w:rsid w:val="00E907A9"/>
    <w:rsid w:val="00E9165D"/>
    <w:rsid w:val="00E917A8"/>
    <w:rsid w:val="00E91CC9"/>
    <w:rsid w:val="00E93C4D"/>
    <w:rsid w:val="00E94E16"/>
    <w:rsid w:val="00E94F57"/>
    <w:rsid w:val="00E95B60"/>
    <w:rsid w:val="00E9657E"/>
    <w:rsid w:val="00E96916"/>
    <w:rsid w:val="00E974A3"/>
    <w:rsid w:val="00EA0FF6"/>
    <w:rsid w:val="00EA1CD7"/>
    <w:rsid w:val="00EA25BF"/>
    <w:rsid w:val="00EA301D"/>
    <w:rsid w:val="00EA36C0"/>
    <w:rsid w:val="00EA5968"/>
    <w:rsid w:val="00EA5A06"/>
    <w:rsid w:val="00EA6C7E"/>
    <w:rsid w:val="00EA6FA5"/>
    <w:rsid w:val="00EA72D6"/>
    <w:rsid w:val="00EA78A1"/>
    <w:rsid w:val="00EB1B6C"/>
    <w:rsid w:val="00EB384F"/>
    <w:rsid w:val="00EB593D"/>
    <w:rsid w:val="00EB5ED0"/>
    <w:rsid w:val="00EC189B"/>
    <w:rsid w:val="00EC2AD5"/>
    <w:rsid w:val="00EC2B9C"/>
    <w:rsid w:val="00EC2BA5"/>
    <w:rsid w:val="00EC4AD4"/>
    <w:rsid w:val="00EC564B"/>
    <w:rsid w:val="00EC68FB"/>
    <w:rsid w:val="00ED418B"/>
    <w:rsid w:val="00ED4284"/>
    <w:rsid w:val="00ED5FA4"/>
    <w:rsid w:val="00ED6628"/>
    <w:rsid w:val="00EE04AE"/>
    <w:rsid w:val="00EE13FC"/>
    <w:rsid w:val="00EE14E2"/>
    <w:rsid w:val="00EE4BAB"/>
    <w:rsid w:val="00EE5837"/>
    <w:rsid w:val="00EE5981"/>
    <w:rsid w:val="00EE684F"/>
    <w:rsid w:val="00EE7286"/>
    <w:rsid w:val="00EE7A37"/>
    <w:rsid w:val="00EF0269"/>
    <w:rsid w:val="00EF08EE"/>
    <w:rsid w:val="00EF1667"/>
    <w:rsid w:val="00EF1791"/>
    <w:rsid w:val="00EF21DD"/>
    <w:rsid w:val="00EF2AC1"/>
    <w:rsid w:val="00EF4824"/>
    <w:rsid w:val="00EF4A8B"/>
    <w:rsid w:val="00EF4DB5"/>
    <w:rsid w:val="00EF507E"/>
    <w:rsid w:val="00EF531C"/>
    <w:rsid w:val="00EF609E"/>
    <w:rsid w:val="00F00117"/>
    <w:rsid w:val="00F00B52"/>
    <w:rsid w:val="00F01BCD"/>
    <w:rsid w:val="00F0316E"/>
    <w:rsid w:val="00F048CC"/>
    <w:rsid w:val="00F0565F"/>
    <w:rsid w:val="00F05AE5"/>
    <w:rsid w:val="00F07E43"/>
    <w:rsid w:val="00F114E4"/>
    <w:rsid w:val="00F1326C"/>
    <w:rsid w:val="00F133B6"/>
    <w:rsid w:val="00F144D8"/>
    <w:rsid w:val="00F15449"/>
    <w:rsid w:val="00F16F8B"/>
    <w:rsid w:val="00F17166"/>
    <w:rsid w:val="00F17CF1"/>
    <w:rsid w:val="00F239F4"/>
    <w:rsid w:val="00F23C36"/>
    <w:rsid w:val="00F23CDF"/>
    <w:rsid w:val="00F25F77"/>
    <w:rsid w:val="00F26FE5"/>
    <w:rsid w:val="00F270F3"/>
    <w:rsid w:val="00F27AF0"/>
    <w:rsid w:val="00F27BE3"/>
    <w:rsid w:val="00F30034"/>
    <w:rsid w:val="00F310ED"/>
    <w:rsid w:val="00F3331B"/>
    <w:rsid w:val="00F34661"/>
    <w:rsid w:val="00F35708"/>
    <w:rsid w:val="00F36ECC"/>
    <w:rsid w:val="00F40FC7"/>
    <w:rsid w:val="00F41345"/>
    <w:rsid w:val="00F41B54"/>
    <w:rsid w:val="00F41F0E"/>
    <w:rsid w:val="00F4504A"/>
    <w:rsid w:val="00F4595C"/>
    <w:rsid w:val="00F46E4F"/>
    <w:rsid w:val="00F47496"/>
    <w:rsid w:val="00F47DBE"/>
    <w:rsid w:val="00F47F71"/>
    <w:rsid w:val="00F47FC4"/>
    <w:rsid w:val="00F501EA"/>
    <w:rsid w:val="00F508F6"/>
    <w:rsid w:val="00F50D56"/>
    <w:rsid w:val="00F50E43"/>
    <w:rsid w:val="00F52183"/>
    <w:rsid w:val="00F536EB"/>
    <w:rsid w:val="00F54C7A"/>
    <w:rsid w:val="00F54EE2"/>
    <w:rsid w:val="00F550C0"/>
    <w:rsid w:val="00F55100"/>
    <w:rsid w:val="00F563CD"/>
    <w:rsid w:val="00F56D18"/>
    <w:rsid w:val="00F56E69"/>
    <w:rsid w:val="00F61177"/>
    <w:rsid w:val="00F6230E"/>
    <w:rsid w:val="00F62B04"/>
    <w:rsid w:val="00F63B79"/>
    <w:rsid w:val="00F6530D"/>
    <w:rsid w:val="00F65EB6"/>
    <w:rsid w:val="00F668BF"/>
    <w:rsid w:val="00F670EC"/>
    <w:rsid w:val="00F71A51"/>
    <w:rsid w:val="00F74097"/>
    <w:rsid w:val="00F75193"/>
    <w:rsid w:val="00F77C6D"/>
    <w:rsid w:val="00F806D7"/>
    <w:rsid w:val="00F8170D"/>
    <w:rsid w:val="00F824A9"/>
    <w:rsid w:val="00F84689"/>
    <w:rsid w:val="00F849AD"/>
    <w:rsid w:val="00F84DB3"/>
    <w:rsid w:val="00F86576"/>
    <w:rsid w:val="00F86A12"/>
    <w:rsid w:val="00F872F3"/>
    <w:rsid w:val="00F91335"/>
    <w:rsid w:val="00F928A0"/>
    <w:rsid w:val="00F928C9"/>
    <w:rsid w:val="00F92B83"/>
    <w:rsid w:val="00F940B4"/>
    <w:rsid w:val="00F94151"/>
    <w:rsid w:val="00F9446D"/>
    <w:rsid w:val="00F95153"/>
    <w:rsid w:val="00F95688"/>
    <w:rsid w:val="00F96FE9"/>
    <w:rsid w:val="00F9717C"/>
    <w:rsid w:val="00FA156B"/>
    <w:rsid w:val="00FA17FE"/>
    <w:rsid w:val="00FA5369"/>
    <w:rsid w:val="00FA59FE"/>
    <w:rsid w:val="00FA5B20"/>
    <w:rsid w:val="00FA5EE2"/>
    <w:rsid w:val="00FA666A"/>
    <w:rsid w:val="00FA7B3B"/>
    <w:rsid w:val="00FA7D5E"/>
    <w:rsid w:val="00FB020B"/>
    <w:rsid w:val="00FB07B8"/>
    <w:rsid w:val="00FB0F8B"/>
    <w:rsid w:val="00FB4494"/>
    <w:rsid w:val="00FB4968"/>
    <w:rsid w:val="00FB4FBE"/>
    <w:rsid w:val="00FB52FF"/>
    <w:rsid w:val="00FB5345"/>
    <w:rsid w:val="00FB60F8"/>
    <w:rsid w:val="00FB641F"/>
    <w:rsid w:val="00FB7076"/>
    <w:rsid w:val="00FB76C0"/>
    <w:rsid w:val="00FC0185"/>
    <w:rsid w:val="00FC0B85"/>
    <w:rsid w:val="00FC0D8B"/>
    <w:rsid w:val="00FC192E"/>
    <w:rsid w:val="00FC19DD"/>
    <w:rsid w:val="00FC1A36"/>
    <w:rsid w:val="00FC25A7"/>
    <w:rsid w:val="00FC2685"/>
    <w:rsid w:val="00FC306F"/>
    <w:rsid w:val="00FC410C"/>
    <w:rsid w:val="00FC4753"/>
    <w:rsid w:val="00FC490B"/>
    <w:rsid w:val="00FC497E"/>
    <w:rsid w:val="00FC62DA"/>
    <w:rsid w:val="00FC72D6"/>
    <w:rsid w:val="00FD15A1"/>
    <w:rsid w:val="00FD1B1C"/>
    <w:rsid w:val="00FD5F3B"/>
    <w:rsid w:val="00FD7FCF"/>
    <w:rsid w:val="00FE1FFC"/>
    <w:rsid w:val="00FE250A"/>
    <w:rsid w:val="00FE25C3"/>
    <w:rsid w:val="00FE4F24"/>
    <w:rsid w:val="00FE5917"/>
    <w:rsid w:val="00FE5D6C"/>
    <w:rsid w:val="00FE6345"/>
    <w:rsid w:val="00FE64AC"/>
    <w:rsid w:val="00FE6BBC"/>
    <w:rsid w:val="00FE6C85"/>
    <w:rsid w:val="00FF000C"/>
    <w:rsid w:val="00FF0731"/>
    <w:rsid w:val="00FF1664"/>
    <w:rsid w:val="00FF5307"/>
    <w:rsid w:val="00FF5324"/>
    <w:rsid w:val="00FF6DC0"/>
    <w:rsid w:val="00FF78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691FE"/>
  <w15:chartTrackingRefBased/>
  <w15:docId w15:val="{6E30C1AA-AD91-419A-9DD1-35B076C7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before="120" w:after="120" w:line="360" w:lineRule="auto"/>
        <w:jc w:val="both"/>
      </w:pPr>
    </w:pPrDefault>
  </w:docDefaults>
  <w:latentStyles w:defLockedState="0" w:defUIPriority="99" w:defSemiHidden="0" w:defUnhideWhenUsed="0" w:defQFormat="0" w:count="375">
    <w:lsdException w:name="Normal" w:uiPriority="1"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92617"/>
    <w:pPr>
      <w:widowControl w:val="0"/>
      <w:spacing w:before="0" w:after="0" w:line="240" w:lineRule="auto"/>
      <w:jc w:val="left"/>
    </w:pPr>
    <w:rPr>
      <w:rFonts w:ascii="Times New Roman" w:eastAsia="Times New Roman" w:hAnsi="Times New Roman" w:cs="Times New Roman"/>
    </w:rPr>
  </w:style>
  <w:style w:type="paragraph" w:styleId="Heading1">
    <w:name w:val="heading 1"/>
    <w:basedOn w:val="ListParagraph"/>
    <w:next w:val="Normal"/>
    <w:link w:val="Heading1Char"/>
    <w:autoRedefine/>
    <w:uiPriority w:val="9"/>
    <w:rsid w:val="00893329"/>
    <w:pPr>
      <w:tabs>
        <w:tab w:val="left" w:pos="450"/>
      </w:tabs>
      <w:spacing w:line="360" w:lineRule="auto"/>
      <w:ind w:left="0"/>
      <w:contextualSpacing w:val="0"/>
      <w:outlineLvl w:val="0"/>
    </w:pPr>
    <w:rPr>
      <w:rFonts w:asciiTheme="majorBidi" w:hAnsiTheme="majorBidi" w:cstheme="majorBidi"/>
      <w:sz w:val="28"/>
      <w:szCs w:val="28"/>
    </w:rPr>
  </w:style>
  <w:style w:type="paragraph" w:styleId="Heading2">
    <w:name w:val="heading 2"/>
    <w:basedOn w:val="Normal"/>
    <w:next w:val="Normal"/>
    <w:link w:val="Heading2Char"/>
    <w:uiPriority w:val="9"/>
    <w:unhideWhenUsed/>
    <w:rsid w:val="00C2210C"/>
    <w:pPr>
      <w:keepNext/>
      <w:keepLines/>
      <w:numPr>
        <w:ilvl w:val="1"/>
        <w:numId w:val="1"/>
      </w:numPr>
      <w:spacing w:before="160" w:after="120" w:line="360" w:lineRule="auto"/>
      <w:outlineLvl w:val="1"/>
    </w:pPr>
    <w:rPr>
      <w:rFonts w:eastAsiaTheme="majorEastAsia" w:cstheme="majorBidi"/>
      <w:b/>
      <w:color w:val="000000" w:themeColor="text1"/>
      <w:sz w:val="28"/>
      <w:szCs w:val="26"/>
      <w:u w:val="single"/>
    </w:rPr>
  </w:style>
  <w:style w:type="paragraph" w:styleId="Heading3">
    <w:name w:val="heading 3"/>
    <w:basedOn w:val="Normal"/>
    <w:next w:val="Normal"/>
    <w:link w:val="Heading3Char"/>
    <w:uiPriority w:val="9"/>
    <w:unhideWhenUsed/>
    <w:rsid w:val="00615FF2"/>
    <w:pPr>
      <w:keepNext/>
      <w:keepLines/>
      <w:numPr>
        <w:ilvl w:val="2"/>
        <w:numId w:val="1"/>
      </w:numPr>
      <w:spacing w:before="120"/>
      <w:outlineLvl w:val="2"/>
    </w:pPr>
    <w:rPr>
      <w:rFonts w:eastAsiaTheme="majorEastAsia"/>
      <w:i/>
      <w:iCs/>
      <w:color w:val="000000" w:themeColor="text1"/>
      <w:sz w:val="26"/>
      <w:szCs w:val="26"/>
    </w:rPr>
  </w:style>
  <w:style w:type="paragraph" w:styleId="Heading4">
    <w:name w:val="heading 4"/>
    <w:basedOn w:val="Normal"/>
    <w:next w:val="Normal"/>
    <w:link w:val="Heading4Char"/>
    <w:uiPriority w:val="9"/>
    <w:unhideWhenUsed/>
    <w:rsid w:val="00330DFB"/>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330DFB"/>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30DF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30DF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30DF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0DF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92617"/>
  </w:style>
  <w:style w:type="character" w:customStyle="1" w:styleId="BodyTextChar">
    <w:name w:val="Body Text Char"/>
    <w:basedOn w:val="DefaultParagraphFont"/>
    <w:link w:val="BodyText"/>
    <w:uiPriority w:val="1"/>
    <w:rsid w:val="00492617"/>
    <w:rPr>
      <w:rFonts w:ascii="Times New Roman" w:eastAsia="Times New Roman" w:hAnsi="Times New Roman" w:cs="Times New Roman"/>
      <w:lang w:val="en-US"/>
    </w:rPr>
  </w:style>
  <w:style w:type="paragraph" w:styleId="ListParagraph">
    <w:name w:val="List Paragraph"/>
    <w:basedOn w:val="Normal"/>
    <w:uiPriority w:val="34"/>
    <w:qFormat/>
    <w:rsid w:val="00492617"/>
    <w:pPr>
      <w:ind w:left="720"/>
      <w:contextualSpacing/>
    </w:pPr>
  </w:style>
  <w:style w:type="paragraph" w:styleId="BalloonText">
    <w:name w:val="Balloon Text"/>
    <w:basedOn w:val="Normal"/>
    <w:link w:val="BalloonTextChar"/>
    <w:uiPriority w:val="99"/>
    <w:semiHidden/>
    <w:unhideWhenUsed/>
    <w:rsid w:val="00142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83B"/>
    <w:rPr>
      <w:rFonts w:ascii="Segoe UI" w:eastAsia="Times New Roman" w:hAnsi="Segoe UI" w:cs="Segoe UI"/>
      <w:sz w:val="18"/>
      <w:szCs w:val="18"/>
      <w:lang w:val="en-US"/>
    </w:rPr>
  </w:style>
  <w:style w:type="table" w:styleId="TableGrid">
    <w:name w:val="Table Grid"/>
    <w:basedOn w:val="TableNormal"/>
    <w:uiPriority w:val="39"/>
    <w:rsid w:val="00FC268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626D"/>
    <w:rPr>
      <w:color w:val="0563C1" w:themeColor="hyperlink"/>
      <w:u w:val="single"/>
    </w:rPr>
  </w:style>
  <w:style w:type="character" w:customStyle="1" w:styleId="UnresolvedMention1">
    <w:name w:val="Unresolved Mention1"/>
    <w:basedOn w:val="DefaultParagraphFont"/>
    <w:uiPriority w:val="99"/>
    <w:semiHidden/>
    <w:unhideWhenUsed/>
    <w:rsid w:val="001F67D5"/>
    <w:rPr>
      <w:color w:val="808080"/>
      <w:shd w:val="clear" w:color="auto" w:fill="E6E6E6"/>
    </w:rPr>
  </w:style>
  <w:style w:type="paragraph" w:styleId="Header">
    <w:name w:val="header"/>
    <w:basedOn w:val="Normal"/>
    <w:link w:val="HeaderChar"/>
    <w:uiPriority w:val="99"/>
    <w:unhideWhenUsed/>
    <w:rsid w:val="00EB1B6C"/>
    <w:pPr>
      <w:tabs>
        <w:tab w:val="center" w:pos="4513"/>
        <w:tab w:val="right" w:pos="9026"/>
      </w:tabs>
    </w:pPr>
  </w:style>
  <w:style w:type="character" w:customStyle="1" w:styleId="HeaderChar">
    <w:name w:val="Header Char"/>
    <w:basedOn w:val="DefaultParagraphFont"/>
    <w:link w:val="Header"/>
    <w:uiPriority w:val="99"/>
    <w:rsid w:val="00EB1B6C"/>
    <w:rPr>
      <w:rFonts w:ascii="Times New Roman" w:eastAsia="Times New Roman" w:hAnsi="Times New Roman" w:cs="Times New Roman"/>
    </w:rPr>
  </w:style>
  <w:style w:type="paragraph" w:styleId="Footer">
    <w:name w:val="footer"/>
    <w:basedOn w:val="Normal"/>
    <w:link w:val="FooterChar"/>
    <w:uiPriority w:val="99"/>
    <w:unhideWhenUsed/>
    <w:rsid w:val="00EB1B6C"/>
    <w:pPr>
      <w:tabs>
        <w:tab w:val="center" w:pos="4513"/>
        <w:tab w:val="right" w:pos="9026"/>
      </w:tabs>
    </w:pPr>
  </w:style>
  <w:style w:type="character" w:customStyle="1" w:styleId="FooterChar">
    <w:name w:val="Footer Char"/>
    <w:basedOn w:val="DefaultParagraphFont"/>
    <w:link w:val="Footer"/>
    <w:uiPriority w:val="99"/>
    <w:rsid w:val="00EB1B6C"/>
    <w:rPr>
      <w:rFonts w:ascii="Times New Roman" w:eastAsia="Times New Roman" w:hAnsi="Times New Roman" w:cs="Times New Roman"/>
    </w:rPr>
  </w:style>
  <w:style w:type="paragraph" w:styleId="NoSpacing">
    <w:name w:val="No Spacing"/>
    <w:link w:val="NoSpacingChar"/>
    <w:uiPriority w:val="1"/>
    <w:qFormat/>
    <w:rsid w:val="00BD2761"/>
    <w:pPr>
      <w:spacing w:before="0" w:after="0" w:line="240" w:lineRule="auto"/>
      <w:jc w:val="left"/>
    </w:pPr>
    <w:rPr>
      <w:rFonts w:ascii="Times New Roman" w:eastAsia="Times New Roman" w:hAnsi="Times New Roman" w:cs="Times New Roman"/>
      <w:lang w:val="en-US"/>
    </w:rPr>
  </w:style>
  <w:style w:type="character" w:customStyle="1" w:styleId="NoSpacingChar">
    <w:name w:val="No Spacing Char"/>
    <w:basedOn w:val="DefaultParagraphFont"/>
    <w:link w:val="NoSpacing"/>
    <w:uiPriority w:val="1"/>
    <w:rsid w:val="00BD2761"/>
    <w:rPr>
      <w:rFonts w:ascii="Times New Roman" w:eastAsia="Times New Roman" w:hAnsi="Times New Roman" w:cs="Times New Roman"/>
      <w:lang w:val="en-US"/>
    </w:rPr>
  </w:style>
  <w:style w:type="table" w:styleId="GridTable4">
    <w:name w:val="Grid Table 4"/>
    <w:basedOn w:val="TableNormal"/>
    <w:uiPriority w:val="49"/>
    <w:rsid w:val="00E50D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D77D6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223201"/>
    <w:pPr>
      <w:spacing w:before="0" w:after="0" w:line="240" w:lineRule="auto"/>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F44B0"/>
    <w:pPr>
      <w:widowControl/>
      <w:spacing w:before="100" w:beforeAutospacing="1" w:after="100" w:afterAutospacing="1"/>
    </w:pPr>
    <w:rPr>
      <w:sz w:val="24"/>
      <w:szCs w:val="24"/>
      <w:lang w:val="en-US"/>
    </w:rPr>
  </w:style>
  <w:style w:type="character" w:customStyle="1" w:styleId="Heading1Char">
    <w:name w:val="Heading 1 Char"/>
    <w:basedOn w:val="DefaultParagraphFont"/>
    <w:link w:val="Heading1"/>
    <w:uiPriority w:val="9"/>
    <w:rsid w:val="00893329"/>
    <w:rPr>
      <w:rFonts w:asciiTheme="majorBidi" w:eastAsia="Times New Roman" w:hAnsiTheme="majorBidi" w:cstheme="majorBidi"/>
      <w:sz w:val="28"/>
      <w:szCs w:val="28"/>
    </w:rPr>
  </w:style>
  <w:style w:type="paragraph" w:styleId="TOCHeading">
    <w:name w:val="TOC Heading"/>
    <w:basedOn w:val="Heading1"/>
    <w:next w:val="Normal"/>
    <w:uiPriority w:val="39"/>
    <w:unhideWhenUsed/>
    <w:qFormat/>
    <w:rsid w:val="006B31A4"/>
    <w:pPr>
      <w:widowControl/>
      <w:spacing w:line="259" w:lineRule="auto"/>
      <w:outlineLvl w:val="9"/>
    </w:pPr>
    <w:rPr>
      <w:rFonts w:asciiTheme="majorHAnsi" w:hAnsiTheme="majorHAnsi"/>
      <w:b/>
      <w:color w:val="2F5496" w:themeColor="accent1" w:themeShade="BF"/>
      <w:lang w:val="en-US"/>
    </w:rPr>
  </w:style>
  <w:style w:type="paragraph" w:styleId="TOC1">
    <w:name w:val="toc 1"/>
    <w:basedOn w:val="Normal"/>
    <w:next w:val="Normal"/>
    <w:autoRedefine/>
    <w:uiPriority w:val="39"/>
    <w:unhideWhenUsed/>
    <w:rsid w:val="00CA7E23"/>
    <w:pPr>
      <w:tabs>
        <w:tab w:val="left" w:pos="450"/>
        <w:tab w:val="left" w:pos="630"/>
        <w:tab w:val="right" w:leader="dot" w:pos="9356"/>
      </w:tabs>
      <w:spacing w:after="100" w:line="360" w:lineRule="auto"/>
      <w:ind w:left="450" w:hanging="180"/>
    </w:pPr>
  </w:style>
  <w:style w:type="character" w:customStyle="1" w:styleId="UnresolvedMention2">
    <w:name w:val="Unresolved Mention2"/>
    <w:basedOn w:val="DefaultParagraphFont"/>
    <w:uiPriority w:val="99"/>
    <w:semiHidden/>
    <w:unhideWhenUsed/>
    <w:rsid w:val="005C43B2"/>
    <w:rPr>
      <w:color w:val="605E5C"/>
      <w:shd w:val="clear" w:color="auto" w:fill="E1DFDD"/>
    </w:rPr>
  </w:style>
  <w:style w:type="paragraph" w:styleId="EndnoteText">
    <w:name w:val="endnote text"/>
    <w:basedOn w:val="Normal"/>
    <w:link w:val="EndnoteTextChar"/>
    <w:uiPriority w:val="99"/>
    <w:semiHidden/>
    <w:unhideWhenUsed/>
    <w:rsid w:val="008C1B3B"/>
    <w:rPr>
      <w:sz w:val="20"/>
      <w:szCs w:val="20"/>
    </w:rPr>
  </w:style>
  <w:style w:type="character" w:customStyle="1" w:styleId="EndnoteTextChar">
    <w:name w:val="Endnote Text Char"/>
    <w:basedOn w:val="DefaultParagraphFont"/>
    <w:link w:val="EndnoteText"/>
    <w:uiPriority w:val="99"/>
    <w:semiHidden/>
    <w:rsid w:val="008C1B3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C1B3B"/>
    <w:rPr>
      <w:vertAlign w:val="superscript"/>
    </w:rPr>
  </w:style>
  <w:style w:type="character" w:customStyle="1" w:styleId="Heading3Char">
    <w:name w:val="Heading 3 Char"/>
    <w:basedOn w:val="DefaultParagraphFont"/>
    <w:link w:val="Heading3"/>
    <w:uiPriority w:val="9"/>
    <w:rsid w:val="00615FF2"/>
    <w:rPr>
      <w:rFonts w:ascii="Times New Roman" w:eastAsiaTheme="majorEastAsia" w:hAnsi="Times New Roman" w:cs="Times New Roman"/>
      <w:i/>
      <w:iCs/>
      <w:color w:val="000000" w:themeColor="text1"/>
      <w:sz w:val="26"/>
      <w:szCs w:val="26"/>
    </w:rPr>
  </w:style>
  <w:style w:type="character" w:customStyle="1" w:styleId="Heading2Char">
    <w:name w:val="Heading 2 Char"/>
    <w:basedOn w:val="DefaultParagraphFont"/>
    <w:link w:val="Heading2"/>
    <w:uiPriority w:val="9"/>
    <w:rsid w:val="00C2210C"/>
    <w:rPr>
      <w:rFonts w:ascii="Times New Roman" w:eastAsiaTheme="majorEastAsia" w:hAnsi="Times New Roman" w:cstheme="majorBidi"/>
      <w:b/>
      <w:color w:val="000000" w:themeColor="text1"/>
      <w:sz w:val="28"/>
      <w:szCs w:val="26"/>
      <w:u w:val="single"/>
    </w:rPr>
  </w:style>
  <w:style w:type="character" w:customStyle="1" w:styleId="Heading4Char">
    <w:name w:val="Heading 4 Char"/>
    <w:basedOn w:val="DefaultParagraphFont"/>
    <w:link w:val="Heading4"/>
    <w:uiPriority w:val="9"/>
    <w:rsid w:val="00330DF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30DF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30DF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30DF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30DF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0DFB"/>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330DFB"/>
    <w:pPr>
      <w:spacing w:after="100"/>
      <w:ind w:left="220"/>
    </w:pPr>
  </w:style>
  <w:style w:type="paragraph" w:styleId="TOC3">
    <w:name w:val="toc 3"/>
    <w:basedOn w:val="Normal"/>
    <w:next w:val="Normal"/>
    <w:autoRedefine/>
    <w:uiPriority w:val="39"/>
    <w:unhideWhenUsed/>
    <w:rsid w:val="00330DFB"/>
    <w:pPr>
      <w:spacing w:after="100"/>
      <w:ind w:left="440"/>
    </w:pPr>
  </w:style>
  <w:style w:type="table" w:customStyle="1" w:styleId="TableGrid3">
    <w:name w:val="Table Grid3"/>
    <w:basedOn w:val="TableNormal"/>
    <w:uiPriority w:val="39"/>
    <w:rsid w:val="00483041"/>
    <w:pPr>
      <w:spacing w:before="0"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5017B"/>
    <w:pPr>
      <w:spacing w:before="0"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F3C10"/>
    <w:rPr>
      <w:color w:val="605E5C"/>
      <w:shd w:val="clear" w:color="auto" w:fill="E1DFDD"/>
    </w:rPr>
  </w:style>
  <w:style w:type="character" w:styleId="FollowedHyperlink">
    <w:name w:val="FollowedHyperlink"/>
    <w:basedOn w:val="DefaultParagraphFont"/>
    <w:uiPriority w:val="99"/>
    <w:semiHidden/>
    <w:unhideWhenUsed/>
    <w:rsid w:val="00386778"/>
    <w:rPr>
      <w:color w:val="954F72" w:themeColor="followedHyperlink"/>
      <w:u w:val="single"/>
    </w:rPr>
  </w:style>
  <w:style w:type="character" w:styleId="UnresolvedMention">
    <w:name w:val="Unresolved Mention"/>
    <w:basedOn w:val="DefaultParagraphFont"/>
    <w:uiPriority w:val="99"/>
    <w:semiHidden/>
    <w:unhideWhenUsed/>
    <w:rsid w:val="00E10AFB"/>
    <w:rPr>
      <w:color w:val="605E5C"/>
      <w:shd w:val="clear" w:color="auto" w:fill="E1DFDD"/>
    </w:rPr>
  </w:style>
  <w:style w:type="paragraph" w:customStyle="1" w:styleId="TableParagraph">
    <w:name w:val="Table Paragraph"/>
    <w:basedOn w:val="Normal"/>
    <w:uiPriority w:val="1"/>
    <w:qFormat/>
    <w:rsid w:val="00B31B9B"/>
    <w:pPr>
      <w:widowControl/>
      <w:autoSpaceDE w:val="0"/>
      <w:autoSpaceDN w:val="0"/>
      <w:adjustRightInd w:val="0"/>
      <w:ind w:left="107"/>
    </w:pPr>
    <w:rPr>
      <w:rFonts w:eastAsiaTheme="minorHAnsi"/>
      <w:sz w:val="24"/>
      <w:szCs w:val="24"/>
      <w:lang w:val="en-US"/>
    </w:rPr>
  </w:style>
  <w:style w:type="character" w:customStyle="1" w:styleId="fontstyle01">
    <w:name w:val="fontstyle01"/>
    <w:basedOn w:val="DefaultParagraphFont"/>
    <w:rsid w:val="00E60DFF"/>
    <w:rPr>
      <w:rFonts w:ascii="Verdana" w:hAnsi="Verdana" w:hint="default"/>
      <w:b w:val="0"/>
      <w:bCs w:val="0"/>
      <w:i w:val="0"/>
      <w:iCs w:val="0"/>
      <w:color w:val="000000"/>
      <w:sz w:val="18"/>
      <w:szCs w:val="18"/>
    </w:rPr>
  </w:style>
  <w:style w:type="character" w:styleId="Emphasis">
    <w:name w:val="Emphasis"/>
    <w:basedOn w:val="DefaultParagraphFont"/>
    <w:uiPriority w:val="20"/>
    <w:qFormat/>
    <w:rsid w:val="007B5825"/>
    <w:rPr>
      <w:i/>
      <w:iCs/>
    </w:rPr>
  </w:style>
  <w:style w:type="paragraph" w:customStyle="1" w:styleId="Level1">
    <w:name w:val="Level 1"/>
    <w:basedOn w:val="Heading1"/>
    <w:link w:val="Level1Char"/>
    <w:uiPriority w:val="1"/>
    <w:rsid w:val="00D62E0B"/>
    <w:pPr>
      <w:numPr>
        <w:numId w:val="69"/>
      </w:numPr>
    </w:pPr>
  </w:style>
  <w:style w:type="paragraph" w:customStyle="1" w:styleId="Level2">
    <w:name w:val="Level 2"/>
    <w:basedOn w:val="Heading1"/>
    <w:link w:val="Level2Char"/>
    <w:uiPriority w:val="1"/>
    <w:rsid w:val="002D61BE"/>
    <w:pPr>
      <w:numPr>
        <w:numId w:val="70"/>
      </w:numPr>
    </w:pPr>
    <w:rPr>
      <w:u w:val="single"/>
    </w:rPr>
  </w:style>
  <w:style w:type="character" w:customStyle="1" w:styleId="Level1Char">
    <w:name w:val="Level 1 Char"/>
    <w:basedOn w:val="Heading1Char"/>
    <w:link w:val="Level1"/>
    <w:uiPriority w:val="1"/>
    <w:rsid w:val="00D62E0B"/>
    <w:rPr>
      <w:rFonts w:asciiTheme="majorBidi" w:eastAsia="Times New Roman" w:hAnsiTheme="majorBidi" w:cstheme="majorBidi"/>
      <w:sz w:val="28"/>
      <w:szCs w:val="28"/>
    </w:rPr>
  </w:style>
  <w:style w:type="character" w:customStyle="1" w:styleId="Level2Char">
    <w:name w:val="Level 2 Char"/>
    <w:basedOn w:val="Heading1Char"/>
    <w:link w:val="Level2"/>
    <w:uiPriority w:val="1"/>
    <w:rsid w:val="002D61BE"/>
    <w:rPr>
      <w:rFonts w:asciiTheme="majorBidi" w:eastAsia="Times New Roman" w:hAnsiTheme="majorBidi" w:cstheme="majorBidi"/>
      <w:sz w:val="28"/>
      <w:szCs w:val="28"/>
      <w:u w:val="single"/>
    </w:rPr>
  </w:style>
  <w:style w:type="paragraph" w:customStyle="1" w:styleId="Pa9">
    <w:name w:val="Pa9"/>
    <w:basedOn w:val="Normal"/>
    <w:next w:val="Normal"/>
    <w:uiPriority w:val="99"/>
    <w:rsid w:val="00DE43B0"/>
    <w:pPr>
      <w:widowControl/>
      <w:autoSpaceDE w:val="0"/>
      <w:autoSpaceDN w:val="0"/>
      <w:adjustRightInd w:val="0"/>
      <w:spacing w:line="201" w:lineRule="atLeast"/>
    </w:pPr>
    <w:rPr>
      <w:rFonts w:ascii="Plantin Light" w:eastAsiaTheme="minorHAnsi" w:hAnsi="Plantin Light" w:cstheme="minorBidi"/>
      <w:sz w:val="24"/>
      <w:szCs w:val="24"/>
      <w:lang w:val="en-US"/>
    </w:rPr>
  </w:style>
  <w:style w:type="paragraph" w:customStyle="1" w:styleId="Pa15">
    <w:name w:val="Pa15"/>
    <w:basedOn w:val="Normal"/>
    <w:next w:val="Normal"/>
    <w:uiPriority w:val="99"/>
    <w:rsid w:val="00DE43B0"/>
    <w:pPr>
      <w:widowControl/>
      <w:autoSpaceDE w:val="0"/>
      <w:autoSpaceDN w:val="0"/>
      <w:adjustRightInd w:val="0"/>
      <w:spacing w:line="201" w:lineRule="atLeast"/>
    </w:pPr>
    <w:rPr>
      <w:rFonts w:ascii="Plantin Light" w:eastAsiaTheme="minorHAnsi" w:hAnsi="Plantin Light" w:cstheme="minorBidi"/>
      <w:sz w:val="24"/>
      <w:szCs w:val="24"/>
      <w:lang w:val="en-US"/>
    </w:rPr>
  </w:style>
  <w:style w:type="character" w:customStyle="1" w:styleId="A9">
    <w:name w:val="A9"/>
    <w:uiPriority w:val="99"/>
    <w:rsid w:val="00DE43B0"/>
    <w:rPr>
      <w:rFonts w:cs="Plantin Light"/>
      <w:color w:val="221E1F"/>
      <w:sz w:val="20"/>
      <w:szCs w:val="20"/>
    </w:rPr>
  </w:style>
  <w:style w:type="character" w:customStyle="1" w:styleId="A2">
    <w:name w:val="A2"/>
    <w:uiPriority w:val="99"/>
    <w:rsid w:val="00F41345"/>
    <w:rPr>
      <w:rFonts w:cs="Plantin Light"/>
      <w:color w:val="221E1F"/>
      <w:sz w:val="20"/>
      <w:szCs w:val="20"/>
    </w:rPr>
  </w:style>
  <w:style w:type="character" w:styleId="Strong">
    <w:name w:val="Strong"/>
    <w:basedOn w:val="DefaultParagraphFont"/>
    <w:uiPriority w:val="22"/>
    <w:qFormat/>
    <w:rsid w:val="004B6E61"/>
    <w:rPr>
      <w:b/>
      <w:bCs/>
    </w:rPr>
  </w:style>
  <w:style w:type="paragraph" w:customStyle="1" w:styleId="Pa21">
    <w:name w:val="Pa21"/>
    <w:basedOn w:val="Normal"/>
    <w:next w:val="Normal"/>
    <w:uiPriority w:val="99"/>
    <w:rsid w:val="006625BA"/>
    <w:pPr>
      <w:widowControl/>
      <w:autoSpaceDE w:val="0"/>
      <w:autoSpaceDN w:val="0"/>
      <w:adjustRightInd w:val="0"/>
      <w:spacing w:line="201" w:lineRule="atLeast"/>
    </w:pPr>
    <w:rPr>
      <w:rFonts w:ascii="Plantin Light" w:eastAsiaTheme="minorHAnsi" w:hAnsi="Plantin Light" w:cstheme="minorBidi"/>
      <w:sz w:val="24"/>
      <w:szCs w:val="24"/>
      <w:lang w:val="en-US"/>
    </w:rPr>
  </w:style>
  <w:style w:type="paragraph" w:customStyle="1" w:styleId="Pa22">
    <w:name w:val="Pa22"/>
    <w:basedOn w:val="Normal"/>
    <w:next w:val="Normal"/>
    <w:uiPriority w:val="99"/>
    <w:rsid w:val="006625BA"/>
    <w:pPr>
      <w:widowControl/>
      <w:autoSpaceDE w:val="0"/>
      <w:autoSpaceDN w:val="0"/>
      <w:adjustRightInd w:val="0"/>
      <w:spacing w:line="181" w:lineRule="atLeast"/>
    </w:pPr>
    <w:rPr>
      <w:rFonts w:ascii="Helvetica Condensed" w:eastAsiaTheme="minorHAnsi" w:hAnsi="Helvetica Condensed" w:cstheme="minorBidi"/>
      <w:sz w:val="24"/>
      <w:szCs w:val="24"/>
      <w:lang w:val="en-US"/>
    </w:rPr>
  </w:style>
  <w:style w:type="paragraph" w:customStyle="1" w:styleId="Pa23">
    <w:name w:val="Pa23"/>
    <w:basedOn w:val="Normal"/>
    <w:next w:val="Normal"/>
    <w:uiPriority w:val="99"/>
    <w:rsid w:val="006625BA"/>
    <w:pPr>
      <w:widowControl/>
      <w:autoSpaceDE w:val="0"/>
      <w:autoSpaceDN w:val="0"/>
      <w:adjustRightInd w:val="0"/>
      <w:spacing w:line="181" w:lineRule="atLeast"/>
    </w:pPr>
    <w:rPr>
      <w:rFonts w:ascii="Helvetica Condensed" w:eastAsiaTheme="minorHAnsi" w:hAnsi="Helvetica Condensed" w:cstheme="minorBidi"/>
      <w:sz w:val="24"/>
      <w:szCs w:val="24"/>
      <w:lang w:val="en-US"/>
    </w:rPr>
  </w:style>
  <w:style w:type="paragraph" w:customStyle="1" w:styleId="Pa24">
    <w:name w:val="Pa24"/>
    <w:basedOn w:val="Normal"/>
    <w:next w:val="Normal"/>
    <w:uiPriority w:val="99"/>
    <w:rsid w:val="006625BA"/>
    <w:pPr>
      <w:widowControl/>
      <w:autoSpaceDE w:val="0"/>
      <w:autoSpaceDN w:val="0"/>
      <w:adjustRightInd w:val="0"/>
      <w:spacing w:line="181" w:lineRule="atLeast"/>
    </w:pPr>
    <w:rPr>
      <w:rFonts w:ascii="Helvetica Condensed" w:eastAsiaTheme="minorHAnsi" w:hAnsi="Helvetica Condensed" w:cstheme="minorBidi"/>
      <w:sz w:val="24"/>
      <w:szCs w:val="24"/>
      <w:lang w:val="en-US"/>
    </w:rPr>
  </w:style>
  <w:style w:type="paragraph" w:styleId="TOC4">
    <w:name w:val="toc 4"/>
    <w:basedOn w:val="Normal"/>
    <w:next w:val="Normal"/>
    <w:autoRedefine/>
    <w:uiPriority w:val="39"/>
    <w:unhideWhenUsed/>
    <w:rsid w:val="008F0D0C"/>
    <w:pPr>
      <w:widowControl/>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8F0D0C"/>
    <w:pPr>
      <w:widowControl/>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8F0D0C"/>
    <w:pPr>
      <w:widowControl/>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8F0D0C"/>
    <w:pPr>
      <w:widowControl/>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8F0D0C"/>
    <w:pPr>
      <w:widowControl/>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8F0D0C"/>
    <w:pPr>
      <w:widowControl/>
      <w:spacing w:after="100" w:line="259" w:lineRule="auto"/>
      <w:ind w:left="1760"/>
    </w:pPr>
    <w:rPr>
      <w:rFonts w:asciiTheme="minorHAnsi" w:eastAsiaTheme="minorEastAsia" w:hAnsiTheme="minorHAnsi" w:cstheme="minorBidi"/>
      <w:lang w:val="en-US"/>
    </w:rPr>
  </w:style>
  <w:style w:type="paragraph" w:customStyle="1" w:styleId="Level1DRAP">
    <w:name w:val="Level 1 DRAP"/>
    <w:basedOn w:val="Heading1"/>
    <w:link w:val="Level1DRAPChar"/>
    <w:uiPriority w:val="1"/>
    <w:qFormat/>
    <w:rsid w:val="009A003E"/>
    <w:pPr>
      <w:numPr>
        <w:numId w:val="71"/>
      </w:numPr>
      <w:tabs>
        <w:tab w:val="clear" w:pos="450"/>
      </w:tabs>
      <w:ind w:hanging="720"/>
    </w:pPr>
    <w:rPr>
      <w:b/>
      <w:sz w:val="32"/>
    </w:rPr>
  </w:style>
  <w:style w:type="character" w:customStyle="1" w:styleId="Level1DRAPChar">
    <w:name w:val="Level 1 DRAP Char"/>
    <w:basedOn w:val="Heading1Char"/>
    <w:link w:val="Level1DRAP"/>
    <w:uiPriority w:val="1"/>
    <w:rsid w:val="009A003E"/>
    <w:rPr>
      <w:rFonts w:asciiTheme="majorBidi" w:eastAsia="Times New Roman" w:hAnsiTheme="majorBidi" w:cstheme="majorBidi"/>
      <w:b/>
      <w:sz w:val="32"/>
      <w:szCs w:val="28"/>
    </w:rPr>
  </w:style>
  <w:style w:type="character" w:styleId="LineNumber">
    <w:name w:val="line number"/>
    <w:basedOn w:val="DefaultParagraphFont"/>
    <w:uiPriority w:val="99"/>
    <w:semiHidden/>
    <w:unhideWhenUsed/>
    <w:rsid w:val="00301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090850">
      <w:bodyDiv w:val="1"/>
      <w:marLeft w:val="0"/>
      <w:marRight w:val="0"/>
      <w:marTop w:val="0"/>
      <w:marBottom w:val="0"/>
      <w:divBdr>
        <w:top w:val="none" w:sz="0" w:space="0" w:color="auto"/>
        <w:left w:val="none" w:sz="0" w:space="0" w:color="auto"/>
        <w:bottom w:val="none" w:sz="0" w:space="0" w:color="auto"/>
        <w:right w:val="none" w:sz="0" w:space="0" w:color="auto"/>
      </w:divBdr>
    </w:div>
    <w:div w:id="733353279">
      <w:bodyDiv w:val="1"/>
      <w:marLeft w:val="0"/>
      <w:marRight w:val="0"/>
      <w:marTop w:val="0"/>
      <w:marBottom w:val="0"/>
      <w:divBdr>
        <w:top w:val="none" w:sz="0" w:space="0" w:color="auto"/>
        <w:left w:val="none" w:sz="0" w:space="0" w:color="auto"/>
        <w:bottom w:val="none" w:sz="0" w:space="0" w:color="auto"/>
        <w:right w:val="none" w:sz="0" w:space="0" w:color="auto"/>
      </w:divBdr>
    </w:div>
    <w:div w:id="1688366604">
      <w:bodyDiv w:val="1"/>
      <w:marLeft w:val="0"/>
      <w:marRight w:val="0"/>
      <w:marTop w:val="0"/>
      <w:marBottom w:val="0"/>
      <w:divBdr>
        <w:top w:val="none" w:sz="0" w:space="0" w:color="auto"/>
        <w:left w:val="none" w:sz="0" w:space="0" w:color="auto"/>
        <w:bottom w:val="none" w:sz="0" w:space="0" w:color="auto"/>
        <w:right w:val="none" w:sz="0" w:space="0" w:color="auto"/>
      </w:divBdr>
    </w:div>
    <w:div w:id="1983533043">
      <w:bodyDiv w:val="1"/>
      <w:marLeft w:val="0"/>
      <w:marRight w:val="0"/>
      <w:marTop w:val="0"/>
      <w:marBottom w:val="0"/>
      <w:divBdr>
        <w:top w:val="none" w:sz="0" w:space="0" w:color="auto"/>
        <w:left w:val="none" w:sz="0" w:space="0" w:color="auto"/>
        <w:bottom w:val="none" w:sz="0" w:space="0" w:color="auto"/>
        <w:right w:val="none" w:sz="0" w:space="0" w:color="auto"/>
      </w:divBdr>
    </w:div>
    <w:div w:id="20365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png"/><Relationship Id="rId21" Type="http://schemas.openxmlformats.org/officeDocument/2006/relationships/header" Target="header3.xml"/><Relationship Id="rId42" Type="http://schemas.openxmlformats.org/officeDocument/2006/relationships/hyperlink" Target="http://www.dra.gov.pk" TargetMode="External"/><Relationship Id="rId47" Type="http://schemas.openxmlformats.org/officeDocument/2006/relationships/hyperlink" Target="mailto:npc@dra.gov.pk" TargetMode="External"/><Relationship Id="rId63" Type="http://schemas.openxmlformats.org/officeDocument/2006/relationships/hyperlink" Target="https://apps.apple.com/kg/app/med-safety/id1439060917" TargetMode="External"/><Relationship Id="rId68" Type="http://schemas.openxmlformats.org/officeDocument/2006/relationships/hyperlink" Target="https://who-umc.org/pv-products/vigilyze/" TargetMode="External"/><Relationship Id="rId84" Type="http://schemas.openxmlformats.org/officeDocument/2006/relationships/hyperlink" Target="https://www.dra.gov.pk/wp-content/uploads/2022/04/SRO-540I-2022-PV-Rules-2022.pdf" TargetMode="External"/><Relationship Id="rId89" Type="http://schemas.openxmlformats.org/officeDocument/2006/relationships/hyperlink" Target="https://www.dra.gov.pk/wp-content/uploads/2022/04/SRO-540I-2022-PV-Rules-2022.pdf" TargetMode="External"/><Relationship Id="rId112" Type="http://schemas.openxmlformats.org/officeDocument/2006/relationships/hyperlink" Target="https://www.dra.gov.pk/wp-content/uploads/2022/05/Guidelines-on-PV-for-PHPs.pdf" TargetMode="External"/><Relationship Id="rId16" Type="http://schemas.openxmlformats.org/officeDocument/2006/relationships/hyperlink" Target="https://www.dra.gov.pk/publications/public-consultations/how-to-submit-comments/" TargetMode="External"/><Relationship Id="rId107" Type="http://schemas.openxmlformats.org/officeDocument/2006/relationships/hyperlink" Target="https://www.ich.org/page/efficacy-guidelines" TargetMode="External"/><Relationship Id="rId11" Type="http://schemas.openxmlformats.org/officeDocument/2006/relationships/image" Target="media/image1.jpeg"/><Relationship Id="rId32" Type="http://schemas.openxmlformats.org/officeDocument/2006/relationships/hyperlink" Target="https://www.dra.gov.pk/wp-content/uploads/2022/05/Guidelines-on-PV-for-PHPs.pdf" TargetMode="External"/><Relationship Id="rId37" Type="http://schemas.openxmlformats.org/officeDocument/2006/relationships/hyperlink" Target="https://www.dra.gov.pk/wp-content/uploads/2022/04/SRO-540I-2022-PV-Rules-2022.pdf" TargetMode="External"/><Relationship Id="rId53" Type="http://schemas.openxmlformats.org/officeDocument/2006/relationships/hyperlink" Target="https://www.dra.gov.pk/wp-content/uploads/2022/04/SRO-540I-2022-PV-Rules-2022.pdf" TargetMode="External"/><Relationship Id="rId58" Type="http://schemas.openxmlformats.org/officeDocument/2006/relationships/hyperlink" Target="https://who-umc.org/media/164200/who-umc-causality-assessment_new-logo.pdf" TargetMode="External"/><Relationship Id="rId74" Type="http://schemas.openxmlformats.org/officeDocument/2006/relationships/hyperlink" Target="https://www.dra.gov.pk/wp-content/uploads/2022/04/SRO-540I-2022-PV-Rules-2022.pdf" TargetMode="External"/><Relationship Id="rId79" Type="http://schemas.openxmlformats.org/officeDocument/2006/relationships/hyperlink" Target="https://www.dra.gov.pk/category/news_updates/press_releases/" TargetMode="External"/><Relationship Id="rId102" Type="http://schemas.openxmlformats.org/officeDocument/2006/relationships/hyperlink" Target="https://www.dra.gov.pk/wp-content/uploads/2022/04/SRO-540I-2022-PV-Rules-2022.pdf" TargetMode="External"/><Relationship Id="rId123" Type="http://schemas.openxmlformats.org/officeDocument/2006/relationships/image" Target="media/image15.jpe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who.int/campaigns/world-patient-safety-day" TargetMode="External"/><Relationship Id="rId95" Type="http://schemas.openxmlformats.org/officeDocument/2006/relationships/hyperlink" Target="https://who-umc.org/whodrug/whodrug-global/" TargetMode="External"/><Relationship Id="rId22" Type="http://schemas.openxmlformats.org/officeDocument/2006/relationships/hyperlink" Target="https://www.dra.gov.pk/wp-content/uploads/2022/01/DRAP-Act.pdf" TargetMode="External"/><Relationship Id="rId27" Type="http://schemas.openxmlformats.org/officeDocument/2006/relationships/hyperlink" Target="https://www.dra.gov.pk/wp-content/uploads/2022/04/SRO-540I-2022-PV-Rules-2022.pdf" TargetMode="External"/><Relationship Id="rId43" Type="http://schemas.openxmlformats.org/officeDocument/2006/relationships/hyperlink" Target="https://primaryreporting.who-umc.org/PK" TargetMode="External"/><Relationship Id="rId48" Type="http://schemas.openxmlformats.org/officeDocument/2006/relationships/hyperlink" Target="http://www.dra.gov.pk" TargetMode="External"/><Relationship Id="rId64" Type="http://schemas.openxmlformats.org/officeDocument/2006/relationships/hyperlink" Target="https://cioms.ch/cioms-i-form/" TargetMode="External"/><Relationship Id="rId69" Type="http://schemas.openxmlformats.org/officeDocument/2006/relationships/hyperlink" Target="https://who-umc.org/pv-products/vigiflow/" TargetMode="External"/><Relationship Id="rId113" Type="http://schemas.openxmlformats.org/officeDocument/2006/relationships/hyperlink" Target="https://www.dra.gov.pk/wp-content/uploads/2022/04/AE-reporting-guidelines-for-patients-Final-Doc.pdf" TargetMode="External"/><Relationship Id="rId118" Type="http://schemas.openxmlformats.org/officeDocument/2006/relationships/image" Target="media/image10.jpeg"/><Relationship Id="rId80" Type="http://schemas.openxmlformats.org/officeDocument/2006/relationships/hyperlink" Target="https://www.dra.gov.pk/" TargetMode="External"/><Relationship Id="rId85" Type="http://schemas.openxmlformats.org/officeDocument/2006/relationships/hyperlink" Target="https://www.dra.gov.pk/wp-content/uploads/2022/04/SRO-540I-2022-PV-Rules-2022.pdf" TargetMode="External"/><Relationship Id="rId12" Type="http://schemas.openxmlformats.org/officeDocument/2006/relationships/hyperlink" Target="https://www.dra.gov.pk/wp-content/uploads/2022/04/1.-Table-for-Submitting-Comments-on-Draft-Documents-1.docx" TargetMode="External"/><Relationship Id="rId17" Type="http://schemas.openxmlformats.org/officeDocument/2006/relationships/hyperlink" Target="mailto:npc@dra.gov.pk" TargetMode="External"/><Relationship Id="rId33" Type="http://schemas.openxmlformats.org/officeDocument/2006/relationships/hyperlink" Target="https://www.dra.gov.pk/wp-content/uploads/2022/04/SRO-540I-2022-PV-Rules-2022.pdf" TargetMode="External"/><Relationship Id="rId38" Type="http://schemas.openxmlformats.org/officeDocument/2006/relationships/hyperlink" Target="https://www.dra.gov.pk/wp-content/uploads/2022/04/SRO-540I-2022-PV-Rules-2022.pdf" TargetMode="External"/><Relationship Id="rId59" Type="http://schemas.openxmlformats.org/officeDocument/2006/relationships/image" Target="media/image5.png"/><Relationship Id="rId103" Type="http://schemas.openxmlformats.org/officeDocument/2006/relationships/hyperlink" Target="https://apps.who.int/iris/rest/bitstreams/50360/retrieve" TargetMode="External"/><Relationship Id="rId108" Type="http://schemas.openxmlformats.org/officeDocument/2006/relationships/hyperlink" Target="https://www.ema.europa.eu/en/human-regulatory/post-authorisation/pharmacovigilance/good-pharmacovigilance-practices" TargetMode="External"/><Relationship Id="rId124" Type="http://schemas.openxmlformats.org/officeDocument/2006/relationships/image" Target="media/image16.jpeg"/><Relationship Id="rId129" Type="http://schemas.openxmlformats.org/officeDocument/2006/relationships/theme" Target="theme/theme1.xml"/><Relationship Id="rId54" Type="http://schemas.openxmlformats.org/officeDocument/2006/relationships/hyperlink" Target="https://www.dra.gov.pk/wp-content/uploads/2022/04/SRO-540I-2022-PV-Rules-2022.pdf" TargetMode="External"/><Relationship Id="rId70" Type="http://schemas.openxmlformats.org/officeDocument/2006/relationships/hyperlink" Target="https://www.meddra.org/" TargetMode="External"/><Relationship Id="rId75" Type="http://schemas.openxmlformats.org/officeDocument/2006/relationships/image" Target="media/image6.png"/><Relationship Id="rId91" Type="http://schemas.openxmlformats.org/officeDocument/2006/relationships/hyperlink" Target="https://who-umc.org/medsafetyweek/" TargetMode="External"/><Relationship Id="rId96" Type="http://schemas.openxmlformats.org/officeDocument/2006/relationships/hyperlink" Target="https://who-umc.org/vigibas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ra.gov.pk/wp-content/uploads/2022/01/DRAP-Act.pdf" TargetMode="External"/><Relationship Id="rId28" Type="http://schemas.openxmlformats.org/officeDocument/2006/relationships/hyperlink" Target="https://www.dra.gov.pk/safety-information/safety-communication/national-pharmacovigilance-system/" TargetMode="External"/><Relationship Id="rId49" Type="http://schemas.openxmlformats.org/officeDocument/2006/relationships/hyperlink" Target="mailto:npc@dra.gov.pk" TargetMode="External"/><Relationship Id="rId114" Type="http://schemas.openxmlformats.org/officeDocument/2006/relationships/hyperlink" Target="https://www.dra.gov.pk/wp-content/uploads/2022/04/Adverse-Events-Reporting-Guidelines-for-Healyhcare-Professionals-Edition-01.pdf" TargetMode="External"/><Relationship Id="rId119" Type="http://schemas.openxmlformats.org/officeDocument/2006/relationships/image" Target="media/image11.jpeg"/><Relationship Id="rId44" Type="http://schemas.openxmlformats.org/officeDocument/2006/relationships/hyperlink" Target="https://itunes.apple.com/gb/app/web-radr-sav/id1439060917?mt=8" TargetMode="External"/><Relationship Id="rId60" Type="http://schemas.openxmlformats.org/officeDocument/2006/relationships/hyperlink" Target="https://www.dra.gov.pk/wp-content/uploads/2022/07/Suspected-Adverse-Reaction-Reporting-Form-for-Health-Care-Professionals.pdf" TargetMode="External"/><Relationship Id="rId65" Type="http://schemas.openxmlformats.org/officeDocument/2006/relationships/hyperlink" Target="mailto:mateen.ath@gmail.com" TargetMode="External"/><Relationship Id="rId81" Type="http://schemas.openxmlformats.org/officeDocument/2006/relationships/hyperlink" Target="https://www.dra.gov.pk/category/safety_info/safety_communication/safety_updates/" TargetMode="External"/><Relationship Id="rId86" Type="http://schemas.openxmlformats.org/officeDocument/2006/relationships/hyperlink" Target="https://www.dra.gov.pk/wp-content/uploads/2022/04/Good-Pharmacovigilance-Guidelines-for-Registration-Holders.pdf" TargetMode="External"/><Relationship Id="rId13" Type="http://schemas.openxmlformats.org/officeDocument/2006/relationships/hyperlink" Target="https://www.dra.gov.pk/publications/public-consultations/how-to-submit-comments/" TargetMode="External"/><Relationship Id="rId18" Type="http://schemas.openxmlformats.org/officeDocument/2006/relationships/header" Target="header1.xml"/><Relationship Id="rId39" Type="http://schemas.openxmlformats.org/officeDocument/2006/relationships/image" Target="media/image3.jpeg"/><Relationship Id="rId109" Type="http://schemas.openxmlformats.org/officeDocument/2006/relationships/hyperlink" Target="https://www.takeandtell.org/downloads/T&amp;T_trifold_(English).pdf" TargetMode="External"/><Relationship Id="rId34" Type="http://schemas.openxmlformats.org/officeDocument/2006/relationships/hyperlink" Target="https://www.dra.gov.pk/wp-content/uploads/2022/04/SRO-540I-2022-PV-Rules-2022.pdf" TargetMode="External"/><Relationship Id="rId50" Type="http://schemas.openxmlformats.org/officeDocument/2006/relationships/hyperlink" Target="https://www.dra.gov.pk/wp-content/uploads/2022/04/SRO-540I-2022-PV-Rules-2022.pdf" TargetMode="External"/><Relationship Id="rId55" Type="http://schemas.openxmlformats.org/officeDocument/2006/relationships/hyperlink" Target="https://www.dra.gov.pk/wp-content/uploads/2022/04/Good-Pharmacovigilance-Guidelines-for-Registration-Holders.pdf" TargetMode="External"/><Relationship Id="rId76" Type="http://schemas.openxmlformats.org/officeDocument/2006/relationships/hyperlink" Target="https://www.dra.gov.pk/wp-content/uploads/2022/04/SRO-540I-2022-PV-Rules-2022.pdf" TargetMode="External"/><Relationship Id="rId97" Type="http://schemas.openxmlformats.org/officeDocument/2006/relationships/hyperlink" Target="https://who-umc.org/pv-products/vigiflow/" TargetMode="External"/><Relationship Id="rId104" Type="http://schemas.openxmlformats.org/officeDocument/2006/relationships/hyperlink" Target="https://apps.who.int/iris/bitstream/handle/10665/43384/9241593911_eng.pdf?sequence=1&amp;isAllowed=y" TargetMode="External"/><Relationship Id="rId120" Type="http://schemas.openxmlformats.org/officeDocument/2006/relationships/image" Target="media/image12.jpeg"/><Relationship Id="rId125"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hyperlink" Target="https://who-umc.org/whodrug/whodrug-global/" TargetMode="External"/><Relationship Id="rId92" Type="http://schemas.openxmlformats.org/officeDocument/2006/relationships/hyperlink" Target="https://www.who.int/teams/regulation-prequalification/regulation-and-safety/pharmacovigilance" TargetMode="External"/><Relationship Id="rId2" Type="http://schemas.openxmlformats.org/officeDocument/2006/relationships/customXml" Target="../customXml/item2.xml"/><Relationship Id="rId29" Type="http://schemas.openxmlformats.org/officeDocument/2006/relationships/hyperlink" Target="https://www.dra.gov.pk/safety-information/safety-communication/how-drap-monitor-safety/" TargetMode="External"/><Relationship Id="rId24" Type="http://schemas.openxmlformats.org/officeDocument/2006/relationships/hyperlink" Target="https://www.dra.gov.pk/wp-content/uploads/2022/01/DRAP-Act.pdf" TargetMode="External"/><Relationship Id="rId40" Type="http://schemas.openxmlformats.org/officeDocument/2006/relationships/hyperlink" Target="https://www.dra.gov.pk/wp-content/uploads/2022/02/ADR-Yellow-Reporting-Form.pdf" TargetMode="External"/><Relationship Id="rId45" Type="http://schemas.openxmlformats.org/officeDocument/2006/relationships/hyperlink" Target="https://play.google.com/store/apps/details?id=com.epidemico.webradr" TargetMode="External"/><Relationship Id="rId66" Type="http://schemas.openxmlformats.org/officeDocument/2006/relationships/hyperlink" Target="https://ascpt.onlinelibrary.wiley.com/doi/abs/10.1038/clpt.1981.154" TargetMode="External"/><Relationship Id="rId87" Type="http://schemas.openxmlformats.org/officeDocument/2006/relationships/hyperlink" Target="https://www.dra.gov.pk/wp-content/uploads/2022/04/SRO-540I-2022-PV-Rules-2022.pdf" TargetMode="External"/><Relationship Id="rId110" Type="http://schemas.openxmlformats.org/officeDocument/2006/relationships/hyperlink" Target="https://www.ema.europa.eu/en/documents/regulatory-procedural-guideline/adverse-drug-reaction-adr-reporting-patient-guideline_en.pdf" TargetMode="External"/><Relationship Id="rId115" Type="http://schemas.openxmlformats.org/officeDocument/2006/relationships/image" Target="media/image7.png"/><Relationship Id="rId61" Type="http://schemas.openxmlformats.org/officeDocument/2006/relationships/hyperlink" Target="https://primaryreporting.who-umc.org/PK" TargetMode="External"/><Relationship Id="rId82" Type="http://schemas.openxmlformats.org/officeDocument/2006/relationships/hyperlink" Target="https://www.dra.gov.pk/safety-information/safety-reporting/med-vigilance-system/" TargetMode="External"/><Relationship Id="rId19" Type="http://schemas.openxmlformats.org/officeDocument/2006/relationships/header" Target="header2.xml"/><Relationship Id="rId14" Type="http://schemas.openxmlformats.org/officeDocument/2006/relationships/hyperlink" Target="mailto:npc@dra.gov.pk" TargetMode="External"/><Relationship Id="rId30" Type="http://schemas.openxmlformats.org/officeDocument/2006/relationships/hyperlink" Target="https://www.dra.gov.pk/wp-content/uploads/2022/04/SRO-540I-2022-PV-Rules-2022.pdf" TargetMode="External"/><Relationship Id="rId35" Type="http://schemas.openxmlformats.org/officeDocument/2006/relationships/hyperlink" Target="https://www.dra.gov.pk/wp-content/uploads/2022/04/Good-Pharmacovigilance-Guidelines-for-Registration-Holders.pdf" TargetMode="External"/><Relationship Id="rId56" Type="http://schemas.openxmlformats.org/officeDocument/2006/relationships/hyperlink" Target="https://ascpt.onlinelibrary.wiley.com/doi/abs/10.1038/clpt.1981.154" TargetMode="External"/><Relationship Id="rId77" Type="http://schemas.openxmlformats.org/officeDocument/2006/relationships/hyperlink" Target="https://www.dra.gov.pk/wp-content/uploads/2022/04/SRO-540I-2022-PV-Rules-2022.pdf" TargetMode="External"/><Relationship Id="rId100" Type="http://schemas.openxmlformats.org/officeDocument/2006/relationships/hyperlink" Target="https://www.meddra.org/" TargetMode="External"/><Relationship Id="rId105" Type="http://schemas.openxmlformats.org/officeDocument/2006/relationships/hyperlink" Target="https://apps.who.int/iris/bitstream/handle/10665/186642/9789241508254_eng.pdf" TargetMode="External"/><Relationship Id="rId126" Type="http://schemas.openxmlformats.org/officeDocument/2006/relationships/hyperlink" Target="mailto:npc@dra.gov.pk" TargetMode="External"/><Relationship Id="rId8" Type="http://schemas.openxmlformats.org/officeDocument/2006/relationships/webSettings" Target="webSettings.xml"/><Relationship Id="rId51" Type="http://schemas.openxmlformats.org/officeDocument/2006/relationships/hyperlink" Target="https://www.dra.gov.pk/wp-content/uploads/2022/04/SRO-540I-2022-PV-Rules-2022.pdf" TargetMode="External"/><Relationship Id="rId72" Type="http://schemas.openxmlformats.org/officeDocument/2006/relationships/hyperlink" Target="https://www.dra.gov.pk/wp-content/uploads/2022/04/SRO-540I-2022-PV-Rules-2022.pdf" TargetMode="External"/><Relationship Id="rId93" Type="http://schemas.openxmlformats.org/officeDocument/2006/relationships/hyperlink" Target="https://who-umc.org/whodrug/whodrug-global/" TargetMode="External"/><Relationship Id="rId98" Type="http://schemas.openxmlformats.org/officeDocument/2006/relationships/hyperlink" Target="https://who-umc.org/pv-products/vigilyze/" TargetMode="External"/><Relationship Id="rId121" Type="http://schemas.openxmlformats.org/officeDocument/2006/relationships/image" Target="media/image13.jpeg"/><Relationship Id="rId3" Type="http://schemas.openxmlformats.org/officeDocument/2006/relationships/customXml" Target="../customXml/item3.xml"/><Relationship Id="rId25" Type="http://schemas.openxmlformats.org/officeDocument/2006/relationships/hyperlink" Target="https://www.dra.gov.pk/wp-content/uploads/2022/04/SRO-540I-2022-PV-Rules-2022.pdf" TargetMode="External"/><Relationship Id="rId46" Type="http://schemas.openxmlformats.org/officeDocument/2006/relationships/hyperlink" Target="https://www.youtube.com/watch?v=BWJxcHj3Hd0&amp;t=75s" TargetMode="External"/><Relationship Id="rId67" Type="http://schemas.openxmlformats.org/officeDocument/2006/relationships/hyperlink" Target="https://who-umc.org/media/164200/who-umc-causality-assessment_new-logo.pdf" TargetMode="External"/><Relationship Id="rId116" Type="http://schemas.openxmlformats.org/officeDocument/2006/relationships/image" Target="media/image8.png"/><Relationship Id="rId20" Type="http://schemas.openxmlformats.org/officeDocument/2006/relationships/footer" Target="footer1.xml"/><Relationship Id="rId41" Type="http://schemas.openxmlformats.org/officeDocument/2006/relationships/hyperlink" Target="mailto:npc@dra.gov.pk" TargetMode="External"/><Relationship Id="rId62" Type="http://schemas.openxmlformats.org/officeDocument/2006/relationships/hyperlink" Target="https://play.google.com/store/apps/details?id=com.epidemico.webradr&amp;hl=en&amp;gl=US" TargetMode="External"/><Relationship Id="rId83" Type="http://schemas.openxmlformats.org/officeDocument/2006/relationships/hyperlink" Target="https://www.dra.gov.pk/wp-content/uploads/2022/04/SRO-540I-2022-PV-Rules-2022.pdf" TargetMode="External"/><Relationship Id="rId88" Type="http://schemas.openxmlformats.org/officeDocument/2006/relationships/hyperlink" Target="https://www.dra.gov.pk/wp-content/uploads/2022/04/SRO-540I-2022-PV-Rules-2022.pdf" TargetMode="External"/><Relationship Id="rId111" Type="http://schemas.openxmlformats.org/officeDocument/2006/relationships/hyperlink" Target="https://www.dra.gov.pk/wp-content/uploads/2022/04/Good-Pharmacovigilance-Guidelines-for-Registration-Holders.pdf" TargetMode="External"/><Relationship Id="rId15" Type="http://schemas.openxmlformats.org/officeDocument/2006/relationships/hyperlink" Target="https://www.dra.gov.pk/wp-content/uploads/2022/04/1.-Table-for-Submitting-Comments-on-Draft-Documents-1.docx" TargetMode="External"/><Relationship Id="rId36" Type="http://schemas.openxmlformats.org/officeDocument/2006/relationships/image" Target="media/image2.jpeg"/><Relationship Id="rId57" Type="http://schemas.openxmlformats.org/officeDocument/2006/relationships/image" Target="media/image4.jpeg"/><Relationship Id="rId106" Type="http://schemas.openxmlformats.org/officeDocument/2006/relationships/hyperlink" Target="https://who-umc.org/media/1703/24747.pdf" TargetMode="External"/><Relationship Id="rId127" Type="http://schemas.openxmlformats.org/officeDocument/2006/relationships/hyperlink" Target="http://www.dra.gov.pk" TargetMode="External"/><Relationship Id="rId10" Type="http://schemas.openxmlformats.org/officeDocument/2006/relationships/endnotes" Target="endnotes.xml"/><Relationship Id="rId31" Type="http://schemas.openxmlformats.org/officeDocument/2006/relationships/hyperlink" Target="https://www.dra.gov.pk/wp-content/uploads/2022/04/SRO-540I-2022-PV-Rules-2022.pdf" TargetMode="External"/><Relationship Id="rId52" Type="http://schemas.openxmlformats.org/officeDocument/2006/relationships/hyperlink" Target="https://www.dra.gov.pk/wp-content/uploads/2022/02/BiostudyRules2017-4.pdf" TargetMode="External"/><Relationship Id="rId73" Type="http://schemas.openxmlformats.org/officeDocument/2006/relationships/hyperlink" Target="https://www.dra.gov.pk/wp-content/uploads/2022/04/SRO-540I-2022-PV-Rules-2022.pdf" TargetMode="External"/><Relationship Id="rId78" Type="http://schemas.openxmlformats.org/officeDocument/2006/relationships/hyperlink" Target="https://www.dra.gov.pk/wp-content/uploads/2022/04/SRO-540I-2022-PV-Rules-2022.pdf" TargetMode="External"/><Relationship Id="rId94" Type="http://schemas.openxmlformats.org/officeDocument/2006/relationships/hyperlink" Target="https://who-umc.org/about-the-who-programme-for-international-drug-monitoring/about-the-who-pidm/" TargetMode="External"/><Relationship Id="rId99" Type="http://schemas.openxmlformats.org/officeDocument/2006/relationships/hyperlink" Target="https://www.meddra.org/" TargetMode="External"/><Relationship Id="rId101" Type="http://schemas.openxmlformats.org/officeDocument/2006/relationships/hyperlink" Target="https://www.dra.gov.pk/wp-content/uploads/2022/05/Guidelines-on-PV-for-PHPs.pdf" TargetMode="External"/><Relationship Id="rId122"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dra.gov.pk/wp-content/uploads/2022/04/SRO-540I-2022-PV-Rules-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0541CA812A784A84DCD8DBC0E4BABC" ma:contentTypeVersion="11" ma:contentTypeDescription="Create a new document." ma:contentTypeScope="" ma:versionID="555ca9a4ef383eb67d902ec2eb470758">
  <xsd:schema xmlns:xsd="http://www.w3.org/2001/XMLSchema" xmlns:xs="http://www.w3.org/2001/XMLSchema" xmlns:p="http://schemas.microsoft.com/office/2006/metadata/properties" xmlns:ns2="0504e8f6-d1c9-4356-b9f1-2675eac6b9b9" xmlns:ns3="dd9fc7ac-62fb-46a9-bb47-2986b53e510e" targetNamespace="http://schemas.microsoft.com/office/2006/metadata/properties" ma:root="true" ma:fieldsID="012df1f0859defaee2c9cca31c8cee60" ns2:_="" ns3:_="">
    <xsd:import namespace="0504e8f6-d1c9-4356-b9f1-2675eac6b9b9"/>
    <xsd:import namespace="dd9fc7ac-62fb-46a9-bb47-2986b53e51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4e8f6-d1c9-4356-b9f1-2675eac6b9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fc7ac-62fb-46a9-bb47-2986b53e51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7D436-A5A1-4EE5-BEA4-931EF2F1D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4e8f6-d1c9-4356-b9f1-2675eac6b9b9"/>
    <ds:schemaRef ds:uri="dd9fc7ac-62fb-46a9-bb47-2986b53e5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D08C2F-6814-4112-BCEC-DF29E8A50336}">
  <ds:schemaRefs>
    <ds:schemaRef ds:uri="http://schemas.microsoft.com/sharepoint/v3/contenttype/forms"/>
  </ds:schemaRefs>
</ds:datastoreItem>
</file>

<file path=customXml/itemProps3.xml><?xml version="1.0" encoding="utf-8"?>
<ds:datastoreItem xmlns:ds="http://schemas.openxmlformats.org/officeDocument/2006/customXml" ds:itemID="{7A1C83DC-09F1-4D12-9125-DB80F6051E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797F3D-D18B-4FBE-8B2E-DD3E6387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3874</TotalTime>
  <Pages>107</Pages>
  <Words>27241</Words>
  <Characters>155280</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Advertisement of Therapeutic Goods Guidelines for FIDs</vt:lpstr>
    </vt:vector>
  </TitlesOfParts>
  <Company/>
  <LinksUpToDate>false</LinksUpToDate>
  <CharactersWithSpaces>182157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Advertisement of Therapeutic Goods Guidelines for FIDs</dc:title>
  <dc:subject/>
  <dc:creator>Aqsa Hashmi</dc:creator>
  <cp:keywords/>
  <dc:description/>
  <cp:lastModifiedBy>Asadullah</cp:lastModifiedBy>
  <cp:revision>20696</cp:revision>
  <cp:lastPrinted>2022-08-02T03:20:00Z</cp:lastPrinted>
  <dcterms:created xsi:type="dcterms:W3CDTF">2019-09-30T07:25:00Z</dcterms:created>
  <dcterms:modified xsi:type="dcterms:W3CDTF">2022-08-24T06:58:00Z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0x010100A50541CA812A784A84DCD8DBC0E4BABC</vt:lpwstr>
  </property>
</Properties>
</file>